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FBC8" w14:textId="338A2099" w:rsidR="00BF4673" w:rsidRPr="00181043" w:rsidRDefault="00BF4673" w:rsidP="00BF4673">
      <w:pPr>
        <w:pStyle w:val="CRCoverPage"/>
        <w:outlineLvl w:val="0"/>
        <w:rPr>
          <w:b/>
          <w:noProof/>
          <w:sz w:val="24"/>
        </w:rPr>
      </w:pPr>
      <w:r w:rsidRPr="00692DEB">
        <w:rPr>
          <w:rFonts w:cs="Arial"/>
          <w:b/>
          <w:sz w:val="24"/>
          <w:lang w:val="en-US"/>
        </w:rPr>
        <w:t>3GPP TSG RAN WG2 Meeting #1</w:t>
      </w:r>
      <w:r>
        <w:rPr>
          <w:rFonts w:cs="Arial"/>
          <w:b/>
          <w:sz w:val="24"/>
          <w:lang w:val="en-US"/>
        </w:rPr>
        <w:t>2</w:t>
      </w:r>
      <w:r w:rsidR="001566E7">
        <w:rPr>
          <w:rFonts w:cs="Arial"/>
          <w:b/>
          <w:sz w:val="24"/>
          <w:lang w:val="en-US"/>
        </w:rPr>
        <w:t>5</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6A065F">
        <w:rPr>
          <w:rFonts w:cs="Arial"/>
          <w:b/>
          <w:sz w:val="24"/>
          <w:lang w:val="en-US"/>
        </w:rPr>
        <w:t>R2-2</w:t>
      </w:r>
      <w:r w:rsidR="00E857C5">
        <w:rPr>
          <w:rFonts w:cs="Arial"/>
          <w:b/>
          <w:sz w:val="24"/>
          <w:lang w:val="en-US"/>
        </w:rPr>
        <w:t>400922</w:t>
      </w:r>
      <w:r w:rsidRPr="00692DEB">
        <w:rPr>
          <w:rFonts w:cs="Arial"/>
          <w:b/>
          <w:sz w:val="24"/>
          <w:lang w:val="en-US"/>
        </w:rPr>
        <w:br/>
      </w:r>
      <w:r w:rsidR="001566E7">
        <w:rPr>
          <w:b/>
          <w:noProof/>
          <w:sz w:val="24"/>
        </w:rPr>
        <w:t>Athen</w:t>
      </w:r>
      <w:r>
        <w:rPr>
          <w:b/>
          <w:noProof/>
          <w:sz w:val="24"/>
        </w:rPr>
        <w:t xml:space="preserve">, </w:t>
      </w:r>
      <w:r w:rsidR="001566E7">
        <w:rPr>
          <w:b/>
          <w:noProof/>
          <w:sz w:val="24"/>
        </w:rPr>
        <w:t>Greece</w:t>
      </w:r>
      <w:r>
        <w:rPr>
          <w:b/>
          <w:noProof/>
          <w:sz w:val="24"/>
        </w:rPr>
        <w:t xml:space="preserve">, </w:t>
      </w:r>
      <w:r w:rsidR="001566E7">
        <w:rPr>
          <w:b/>
          <w:noProof/>
          <w:sz w:val="24"/>
        </w:rPr>
        <w:t>26</w:t>
      </w:r>
      <w:r>
        <w:rPr>
          <w:b/>
          <w:noProof/>
          <w:sz w:val="24"/>
          <w:vertAlign w:val="superscript"/>
        </w:rPr>
        <w:t>th</w:t>
      </w:r>
      <w:r>
        <w:rPr>
          <w:b/>
          <w:noProof/>
          <w:sz w:val="24"/>
        </w:rPr>
        <w:t xml:space="preserve"> </w:t>
      </w:r>
      <w:r w:rsidR="001566E7">
        <w:rPr>
          <w:b/>
          <w:noProof/>
          <w:sz w:val="24"/>
        </w:rPr>
        <w:t xml:space="preserve">Feb. </w:t>
      </w:r>
      <w:r w:rsidRPr="001267E8">
        <w:rPr>
          <w:b/>
          <w:noProof/>
          <w:sz w:val="24"/>
        </w:rPr>
        <w:t xml:space="preserve">– </w:t>
      </w:r>
      <w:r w:rsidR="001F3DED">
        <w:rPr>
          <w:b/>
          <w:noProof/>
          <w:sz w:val="24"/>
        </w:rPr>
        <w:t>1</w:t>
      </w:r>
      <w:r w:rsidR="001F3DED">
        <w:rPr>
          <w:b/>
          <w:noProof/>
          <w:sz w:val="24"/>
          <w:vertAlign w:val="superscript"/>
        </w:rPr>
        <w:t>st</w:t>
      </w:r>
      <w:r>
        <w:rPr>
          <w:b/>
          <w:noProof/>
          <w:sz w:val="24"/>
        </w:rPr>
        <w:t xml:space="preserve"> </w:t>
      </w:r>
      <w:r w:rsidR="001566E7">
        <w:rPr>
          <w:b/>
          <w:noProof/>
          <w:sz w:val="24"/>
        </w:rPr>
        <w:t>March</w:t>
      </w:r>
      <w:r>
        <w:rPr>
          <w:b/>
          <w:noProof/>
          <w:sz w:val="24"/>
        </w:rPr>
        <w:t>,</w:t>
      </w:r>
      <w:r w:rsidRPr="001267E8">
        <w:rPr>
          <w:b/>
          <w:noProof/>
          <w:sz w:val="24"/>
        </w:rPr>
        <w:t xml:space="preserve"> 202</w:t>
      </w:r>
      <w:r w:rsidR="001566E7">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50DF8DC4"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751D6">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0A00A6">
        <w:rPr>
          <w:rFonts w:ascii="Arial" w:eastAsia="MS Mincho" w:hAnsi="Arial" w:cs="Arial"/>
          <w:b/>
          <w:bCs/>
          <w:color w:val="auto"/>
          <w:sz w:val="24"/>
          <w:lang w:eastAsia="en-US"/>
        </w:rPr>
        <w:t>12</w:t>
      </w:r>
      <w:r w:rsidRPr="00051F8C">
        <w:rPr>
          <w:rFonts w:ascii="Arial" w:eastAsia="MS Mincho" w:hAnsi="Arial" w:cs="Arial"/>
          <w:b/>
          <w:bCs/>
          <w:color w:val="auto"/>
          <w:sz w:val="24"/>
          <w:lang w:eastAsia="en-US"/>
        </w:rPr>
        <w:t>.</w:t>
      </w:r>
      <w:r w:rsidR="000A00A6">
        <w:rPr>
          <w:rFonts w:ascii="Arial" w:eastAsia="MS Mincho" w:hAnsi="Arial" w:cs="Arial"/>
          <w:b/>
          <w:bCs/>
          <w:color w:val="auto"/>
          <w:sz w:val="24"/>
          <w:lang w:eastAsia="en-US"/>
        </w:rPr>
        <w:t>2.2</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75CF0555"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A02FC" w:rsidRPr="00DA02FC">
        <w:rPr>
          <w:rFonts w:ascii="AppleSystemUIFont" w:hAnsi="AppleSystemUIFont" w:cs="AppleSystemUIFont"/>
          <w:b/>
          <w:bCs/>
          <w:color w:val="auto"/>
          <w:sz w:val="26"/>
          <w:szCs w:val="26"/>
          <w:lang w:eastAsia="zh-CN"/>
        </w:rPr>
        <w:t>UE capability open issues on mobile IAB</w:t>
      </w:r>
    </w:p>
    <w:p w14:paraId="7DC0B9EA" w14:textId="70232190"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4A2B20" w:rsidRPr="001E3C31">
        <w:rPr>
          <w:rFonts w:ascii="Arial" w:eastAsia="Times New Roman" w:hAnsi="Arial" w:cs="Arial"/>
          <w:b/>
          <w:bCs/>
          <w:color w:val="auto"/>
          <w:sz w:val="24"/>
          <w:lang w:eastAsia="en-US"/>
        </w:rPr>
        <w:t>NR_mobile_IAB</w:t>
      </w:r>
      <w:proofErr w:type="spellEnd"/>
      <w:r w:rsidR="004A2B20" w:rsidRPr="001E3C31">
        <w:rPr>
          <w:rFonts w:ascii="Arial" w:eastAsia="Times New Roman" w:hAnsi="Arial" w:cs="Arial"/>
          <w:b/>
          <w:bCs/>
          <w:color w:val="auto"/>
          <w:sz w:val="24"/>
          <w:lang w:eastAsia="en-US"/>
        </w:rPr>
        <w:t>-Core</w:t>
      </w:r>
      <w:r w:rsidR="004A2B20" w:rsidRPr="00D7389B">
        <w:rPr>
          <w:rFonts w:ascii="Arial" w:hAnsi="Arial" w:cs="Arial"/>
          <w:b/>
          <w:bCs/>
          <w:sz w:val="24"/>
          <w:szCs w:val="24"/>
          <w:lang w:eastAsia="en-US"/>
        </w:rPr>
        <w:t xml:space="preserve"> – Release 1</w:t>
      </w:r>
      <w:r w:rsidR="004A2B20">
        <w:rPr>
          <w:rFonts w:ascii="Arial" w:hAnsi="Arial" w:cs="Arial"/>
          <w:b/>
          <w:bCs/>
          <w:sz w:val="24"/>
          <w:szCs w:val="24"/>
          <w:lang w:eastAsia="en-US"/>
        </w:rPr>
        <w:t>8</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7DBF5F13" w14:textId="5D23191E" w:rsidR="00AB22F0" w:rsidRDefault="00AB22F0" w:rsidP="00AB22F0">
      <w:pPr>
        <w:pStyle w:val="NO"/>
        <w:ind w:left="0" w:firstLine="0"/>
        <w:rPr>
          <w:lang w:eastAsia="zh-CN"/>
        </w:rPr>
      </w:pPr>
      <w:bookmarkStart w:id="0" w:name="_Hlk61519723"/>
      <w:r>
        <w:rPr>
          <w:lang w:eastAsia="zh-CN"/>
        </w:rPr>
        <w:t xml:space="preserve">In this contribution, we share our view on below </w:t>
      </w:r>
      <w:r w:rsidR="004F163C">
        <w:rPr>
          <w:lang w:eastAsia="zh-CN"/>
        </w:rPr>
        <w:t>UE capability</w:t>
      </w:r>
      <w:r>
        <w:rPr>
          <w:lang w:eastAsia="zh-CN"/>
        </w:rPr>
        <w:t xml:space="preserve"> open issues identified by CR Rapporteur:</w:t>
      </w:r>
    </w:p>
    <w:p w14:paraId="44986733" w14:textId="77777777" w:rsidR="00FC0B9D" w:rsidRPr="00FC0B9D" w:rsidRDefault="00FC0B9D" w:rsidP="00FC0B9D">
      <w:pPr>
        <w:pStyle w:val="NO"/>
        <w:numPr>
          <w:ilvl w:val="0"/>
          <w:numId w:val="15"/>
        </w:numPr>
        <w:rPr>
          <w:lang w:eastAsia="zh-CN"/>
        </w:rPr>
      </w:pPr>
      <w:r w:rsidRPr="00FC0B9D">
        <w:rPr>
          <w:lang w:eastAsia="zh-CN"/>
        </w:rPr>
        <w:t>Issue 1: Whether we introduce a mobileIAB-r18 capability (i.e. to identify an IAB-MT as mobile IAB-capable)</w:t>
      </w:r>
    </w:p>
    <w:p w14:paraId="25BBF6A1" w14:textId="77777777" w:rsidR="00FC0B9D" w:rsidRPr="00FC0B9D" w:rsidRDefault="00FC0B9D" w:rsidP="00FC0B9D">
      <w:pPr>
        <w:pStyle w:val="NO"/>
        <w:numPr>
          <w:ilvl w:val="1"/>
          <w:numId w:val="15"/>
        </w:numPr>
        <w:rPr>
          <w:lang w:eastAsia="zh-CN"/>
        </w:rPr>
      </w:pPr>
      <w:r w:rsidRPr="00FC0B9D">
        <w:rPr>
          <w:lang w:eastAsia="zh-CN"/>
        </w:rPr>
        <w:t xml:space="preserve">Note that RAN3 has now agreed to add a mobile-IAB authorization status to </w:t>
      </w:r>
      <w:proofErr w:type="spellStart"/>
      <w:r w:rsidRPr="00FC0B9D">
        <w:rPr>
          <w:lang w:eastAsia="zh-CN"/>
        </w:rPr>
        <w:t>XnAP</w:t>
      </w:r>
      <w:proofErr w:type="spellEnd"/>
      <w:r w:rsidRPr="00FC0B9D">
        <w:rPr>
          <w:lang w:eastAsia="zh-CN"/>
        </w:rPr>
        <w:t>, so the earlier assumption RAN2 had made that a mobile-IAB capability could be needed to identify a UE as a mobile IAB-MT during HO might not be applicable any longer. Of course, companies may provide other arguments why they think the capability is still needed.</w:t>
      </w:r>
    </w:p>
    <w:p w14:paraId="36F155EE" w14:textId="77777777" w:rsidR="00FC0B9D" w:rsidRPr="00FC0B9D" w:rsidRDefault="00FC0B9D" w:rsidP="00FC0B9D">
      <w:pPr>
        <w:pStyle w:val="NO"/>
        <w:numPr>
          <w:ilvl w:val="0"/>
          <w:numId w:val="15"/>
        </w:numPr>
        <w:rPr>
          <w:lang w:eastAsia="zh-CN"/>
        </w:rPr>
      </w:pPr>
      <w:r w:rsidRPr="00FC0B9D">
        <w:rPr>
          <w:lang w:eastAsia="zh-CN"/>
        </w:rPr>
        <w:t xml:space="preserve">Issue 2:  Whether to differentiate the </w:t>
      </w:r>
      <w:proofErr w:type="spellStart"/>
      <w:r w:rsidRPr="00FC0B9D">
        <w:rPr>
          <w:lang w:eastAsia="zh-CN"/>
        </w:rPr>
        <w:t>mIAB</w:t>
      </w:r>
      <w:proofErr w:type="spellEnd"/>
      <w:r w:rsidRPr="00FC0B9D">
        <w:rPr>
          <w:lang w:eastAsia="zh-CN"/>
        </w:rPr>
        <w:t xml:space="preserve"> RACH-less HO capability (/capabilities) from NTN RACH-</w:t>
      </w:r>
      <w:proofErr w:type="gramStart"/>
      <w:r w:rsidRPr="00FC0B9D">
        <w:rPr>
          <w:lang w:eastAsia="zh-CN"/>
        </w:rPr>
        <w:t>less</w:t>
      </w:r>
      <w:proofErr w:type="gramEnd"/>
    </w:p>
    <w:p w14:paraId="637A6453" w14:textId="77777777" w:rsidR="00FC0B9D" w:rsidRPr="00FC0B9D" w:rsidRDefault="00FC0B9D" w:rsidP="00FC0B9D">
      <w:pPr>
        <w:pStyle w:val="NO"/>
        <w:numPr>
          <w:ilvl w:val="1"/>
          <w:numId w:val="15"/>
        </w:numPr>
        <w:rPr>
          <w:lang w:eastAsia="zh-CN"/>
        </w:rPr>
      </w:pPr>
      <w:r w:rsidRPr="00FC0B9D">
        <w:rPr>
          <w:lang w:eastAsia="zh-CN"/>
        </w:rPr>
        <w:t xml:space="preserve">Last meeting, RAN2 introduced an NTN-specific RACH-less capability, </w:t>
      </w:r>
      <w:r w:rsidRPr="00FC0B9D">
        <w:rPr>
          <w:i/>
          <w:iCs/>
          <w:lang w:eastAsia="zh-CN"/>
        </w:rPr>
        <w:t>rachLessHandoverNTN-r18</w:t>
      </w:r>
      <w:r w:rsidRPr="00FC0B9D">
        <w:rPr>
          <w:lang w:eastAsia="zh-CN"/>
        </w:rPr>
        <w:t>.</w:t>
      </w:r>
    </w:p>
    <w:p w14:paraId="73C3BD56" w14:textId="0AC2D1E8" w:rsidR="004D0877" w:rsidRPr="004D0877" w:rsidRDefault="00FC0B9D" w:rsidP="004D0877">
      <w:pPr>
        <w:pStyle w:val="NO"/>
        <w:numPr>
          <w:ilvl w:val="1"/>
          <w:numId w:val="15"/>
        </w:numPr>
        <w:rPr>
          <w:lang w:eastAsia="zh-CN"/>
        </w:rPr>
      </w:pPr>
      <w:r w:rsidRPr="00FC0B9D">
        <w:rPr>
          <w:lang w:eastAsia="zh-CN"/>
        </w:rPr>
        <w:t xml:space="preserve">And for </w:t>
      </w:r>
      <w:proofErr w:type="spellStart"/>
      <w:r w:rsidRPr="00FC0B9D">
        <w:rPr>
          <w:lang w:eastAsia="zh-CN"/>
        </w:rPr>
        <w:t>mIAB</w:t>
      </w:r>
      <w:proofErr w:type="spellEnd"/>
      <w:r w:rsidRPr="00FC0B9D">
        <w:rPr>
          <w:lang w:eastAsia="zh-CN"/>
        </w:rPr>
        <w:t xml:space="preserve">, RAN2 </w:t>
      </w:r>
      <w:r>
        <w:rPr>
          <w:lang w:eastAsia="zh-CN"/>
        </w:rPr>
        <w:t xml:space="preserve">also </w:t>
      </w:r>
      <w:r w:rsidRPr="00FC0B9D">
        <w:rPr>
          <w:lang w:eastAsia="zh-CN"/>
        </w:rPr>
        <w:t>made the following agreements for RACH-less capabilities:</w:t>
      </w:r>
    </w:p>
    <w:p w14:paraId="2B401E9D" w14:textId="6963F8AB" w:rsidR="004D0877" w:rsidRDefault="004D0877" w:rsidP="004D0877">
      <w:pPr>
        <w:pStyle w:val="Agreement"/>
        <w:tabs>
          <w:tab w:val="clear" w:pos="2250"/>
          <w:tab w:val="num" w:pos="1619"/>
        </w:tabs>
        <w:ind w:left="1619"/>
      </w:pPr>
      <w:r>
        <w:t xml:space="preserve">If a threshold for DG, e.g. for validation, is agreed (for NTN) the usage of the threshold is configurable and whether to support it is a UE cap. (it is assumed that for </w:t>
      </w:r>
      <w:proofErr w:type="spellStart"/>
      <w:r>
        <w:t>mIAB</w:t>
      </w:r>
      <w:proofErr w:type="spellEnd"/>
      <w:r>
        <w:t xml:space="preserve"> this is not needed).</w:t>
      </w:r>
    </w:p>
    <w:p w14:paraId="2A12B77D" w14:textId="4F69DC95" w:rsidR="004D0877" w:rsidRDefault="004D0877" w:rsidP="004D0877">
      <w:pPr>
        <w:pStyle w:val="Agreement"/>
        <w:tabs>
          <w:tab w:val="clear" w:pos="2250"/>
          <w:tab w:val="num" w:pos="1619"/>
        </w:tabs>
        <w:ind w:left="1619"/>
      </w:pPr>
      <w:r>
        <w:t>1: CG RACH less and DG RACH less are separate UE caps</w:t>
      </w:r>
    </w:p>
    <w:p w14:paraId="1234E382" w14:textId="60DE1022" w:rsidR="00FC0B9D" w:rsidRDefault="004D0877" w:rsidP="00F7461F">
      <w:pPr>
        <w:pStyle w:val="Agreement"/>
        <w:tabs>
          <w:tab w:val="clear" w:pos="2250"/>
          <w:tab w:val="num" w:pos="1619"/>
        </w:tabs>
        <w:ind w:left="1619"/>
      </w:pPr>
      <w:r>
        <w:t xml:space="preserve">2: CG RACH less is not assumed to be important for IAB and need not to be optimized for the IAB scenario (but also no strict need to prohibit). </w:t>
      </w:r>
    </w:p>
    <w:p w14:paraId="0D2DC6C4" w14:textId="77777777" w:rsidR="00F7461F" w:rsidRPr="00F7461F" w:rsidRDefault="00F7461F" w:rsidP="00F7461F">
      <w:pPr>
        <w:pStyle w:val="Doc-text2"/>
      </w:pPr>
    </w:p>
    <w:p w14:paraId="5361A906" w14:textId="5DE2BB35" w:rsidR="00FB6D19" w:rsidRPr="007312A6" w:rsidRDefault="00FC0B9D" w:rsidP="00FB6D19">
      <w:pPr>
        <w:pStyle w:val="NO"/>
        <w:numPr>
          <w:ilvl w:val="1"/>
          <w:numId w:val="15"/>
        </w:numPr>
        <w:rPr>
          <w:lang w:eastAsia="zh-CN"/>
        </w:rPr>
      </w:pPr>
      <w:r w:rsidRPr="00FC0B9D">
        <w:rPr>
          <w:lang w:eastAsia="zh-CN"/>
        </w:rPr>
        <w:t xml:space="preserve">However, based on v00 of the RAN2#125 agenda shared by Diana last month, I understand that there will be some discussion at the next meeting whether NTN and </w:t>
      </w:r>
      <w:proofErr w:type="spellStart"/>
      <w:r w:rsidRPr="00FC0B9D">
        <w:rPr>
          <w:lang w:eastAsia="zh-CN"/>
        </w:rPr>
        <w:t>mIAB</w:t>
      </w:r>
      <w:proofErr w:type="spellEnd"/>
      <w:r w:rsidRPr="00FC0B9D">
        <w:rPr>
          <w:lang w:eastAsia="zh-CN"/>
        </w:rPr>
        <w:t xml:space="preserve"> RACH-less will be specified independently in Rel-18, which would impact how we specify the RACH-less capabilities. Therefore, my suggestion is that companies should also be prepared to discuss this issue as part of AI 7.0.</w:t>
      </w: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14C90C6A" w14:textId="0140E21A" w:rsidR="000C341F" w:rsidRDefault="00C248A9" w:rsidP="00C248A9">
      <w:pPr>
        <w:pStyle w:val="Heading2"/>
      </w:pPr>
      <w:r>
        <w:t xml:space="preserve">2.1 Issue 1 </w:t>
      </w:r>
    </w:p>
    <w:p w14:paraId="6546C720" w14:textId="48173CF9" w:rsidR="0075682A" w:rsidRDefault="00B243F6" w:rsidP="000E02DE">
      <w:pPr>
        <w:rPr>
          <w:lang w:val="en-GB"/>
        </w:rPr>
      </w:pPr>
      <w:r>
        <w:rPr>
          <w:noProof/>
          <w:lang w:val="en-GB"/>
        </w:rPr>
        <mc:AlternateContent>
          <mc:Choice Requires="wps">
            <w:drawing>
              <wp:anchor distT="0" distB="0" distL="114300" distR="114300" simplePos="0" relativeHeight="251659264" behindDoc="0" locked="0" layoutInCell="1" allowOverlap="1" wp14:anchorId="3E8B0223" wp14:editId="516AA11B">
                <wp:simplePos x="0" y="0"/>
                <wp:positionH relativeFrom="column">
                  <wp:posOffset>30480</wp:posOffset>
                </wp:positionH>
                <wp:positionV relativeFrom="paragraph">
                  <wp:posOffset>258445</wp:posOffset>
                </wp:positionV>
                <wp:extent cx="6123305" cy="1061085"/>
                <wp:effectExtent l="0" t="0" r="10795" b="18415"/>
                <wp:wrapTopAndBottom/>
                <wp:docPr id="1472525142" name="Text Box 1"/>
                <wp:cNvGraphicFramePr/>
                <a:graphic xmlns:a="http://schemas.openxmlformats.org/drawingml/2006/main">
                  <a:graphicData uri="http://schemas.microsoft.com/office/word/2010/wordprocessingShape">
                    <wps:wsp>
                      <wps:cNvSpPr txBox="1"/>
                      <wps:spPr>
                        <a:xfrm>
                          <a:off x="0" y="0"/>
                          <a:ext cx="6123305" cy="1061085"/>
                        </a:xfrm>
                        <a:prstGeom prst="rect">
                          <a:avLst/>
                        </a:prstGeom>
                        <a:solidFill>
                          <a:schemeClr val="lt1"/>
                        </a:solidFill>
                        <a:ln w="6350">
                          <a:solidFill>
                            <a:prstClr val="black"/>
                          </a:solidFill>
                        </a:ln>
                      </wps:spPr>
                      <wps:txbx>
                        <w:txbxContent>
                          <w:p w14:paraId="58F96DFB" w14:textId="77777777" w:rsidR="00B243F6" w:rsidRPr="00FC0B9D" w:rsidRDefault="00B243F6" w:rsidP="00B243F6">
                            <w:pPr>
                              <w:pStyle w:val="NO"/>
                              <w:numPr>
                                <w:ilvl w:val="0"/>
                                <w:numId w:val="15"/>
                              </w:numPr>
                              <w:rPr>
                                <w:lang w:eastAsia="zh-CN"/>
                              </w:rPr>
                            </w:pPr>
                            <w:r w:rsidRPr="00FC0B9D">
                              <w:rPr>
                                <w:lang w:eastAsia="zh-CN"/>
                              </w:rPr>
                              <w:t>Issue 1: Whether we introduce a mobileIAB-r18 capability (i.e. to identify an IAB-MT as mobile IAB-capable)</w:t>
                            </w:r>
                          </w:p>
                          <w:p w14:paraId="73FD279F" w14:textId="77777777" w:rsidR="00B243F6" w:rsidRPr="00FC0B9D" w:rsidRDefault="00B243F6" w:rsidP="00B243F6">
                            <w:pPr>
                              <w:pStyle w:val="NO"/>
                              <w:numPr>
                                <w:ilvl w:val="1"/>
                                <w:numId w:val="15"/>
                              </w:numPr>
                              <w:rPr>
                                <w:lang w:eastAsia="zh-CN"/>
                              </w:rPr>
                            </w:pPr>
                            <w:r w:rsidRPr="00FC0B9D">
                              <w:rPr>
                                <w:lang w:eastAsia="zh-CN"/>
                              </w:rPr>
                              <w:t xml:space="preserve">Note that RAN3 has now agreed to add a mobile-IAB authorization status to </w:t>
                            </w:r>
                            <w:proofErr w:type="spellStart"/>
                            <w:r w:rsidRPr="00FC0B9D">
                              <w:rPr>
                                <w:lang w:eastAsia="zh-CN"/>
                              </w:rPr>
                              <w:t>XnAP</w:t>
                            </w:r>
                            <w:proofErr w:type="spellEnd"/>
                            <w:r w:rsidRPr="00FC0B9D">
                              <w:rPr>
                                <w:lang w:eastAsia="zh-CN"/>
                              </w:rPr>
                              <w:t>, so the earlier assumption RAN2 had made that a mobile-IAB capability could be needed to identify a UE as a mobile IAB-MT during HO might not be applicable any longer. Of course, companies may provide other arguments why they think the capability is still needed.</w:t>
                            </w:r>
                          </w:p>
                          <w:p w14:paraId="3FA7C2EB" w14:textId="77777777" w:rsidR="00B243F6" w:rsidRDefault="00B243F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8B0223" id="_x0000_t202" coordsize="21600,21600" o:spt="202" path="m,l,21600r21600,l21600,xe">
                <v:stroke joinstyle="miter"/>
                <v:path gradientshapeok="t" o:connecttype="rect"/>
              </v:shapetype>
              <v:shape id="Text Box 1" o:spid="_x0000_s1026" type="#_x0000_t202" style="position:absolute;margin-left:2.4pt;margin-top:20.35pt;width:482.15pt;height:8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" fillcolor="white [3201]" strokeweight=".5pt">
                <v:textbox>
                  <w:txbxContent>
                    <w:p w14:paraId="58F96DFB" w14:textId="77777777" w:rsidR="00B243F6" w:rsidRPr="00FC0B9D" w:rsidRDefault="00B243F6" w:rsidP="00B243F6">
                      <w:pPr>
                        <w:pStyle w:val="NO"/>
                        <w:numPr>
                          <w:ilvl w:val="0"/>
                          <w:numId w:val="15"/>
                        </w:numPr>
                        <w:rPr>
                          <w:lang w:eastAsia="zh-CN"/>
                        </w:rPr>
                      </w:pPr>
                      <w:r w:rsidRPr="00FC0B9D">
                        <w:rPr>
                          <w:lang w:eastAsia="zh-CN"/>
                        </w:rPr>
                        <w:t>Issue 1: Whether we introduce a mobileIAB-r18 capability (i.e. to identify an IAB-MT as mobile IAB-capable)</w:t>
                      </w:r>
                    </w:p>
                    <w:p w14:paraId="73FD279F" w14:textId="77777777" w:rsidR="00B243F6" w:rsidRPr="00FC0B9D" w:rsidRDefault="00B243F6" w:rsidP="00B243F6">
                      <w:pPr>
                        <w:pStyle w:val="NO"/>
                        <w:numPr>
                          <w:ilvl w:val="1"/>
                          <w:numId w:val="15"/>
                        </w:numPr>
                        <w:rPr>
                          <w:lang w:eastAsia="zh-CN"/>
                        </w:rPr>
                      </w:pPr>
                      <w:r w:rsidRPr="00FC0B9D">
                        <w:rPr>
                          <w:lang w:eastAsia="zh-CN"/>
                        </w:rPr>
                        <w:t xml:space="preserve">Note that RAN3 has now agreed to add a mobile-IAB authorization status to </w:t>
                      </w:r>
                      <w:proofErr w:type="spellStart"/>
                      <w:r w:rsidRPr="00FC0B9D">
                        <w:rPr>
                          <w:lang w:eastAsia="zh-CN"/>
                        </w:rPr>
                        <w:t>XnAP</w:t>
                      </w:r>
                      <w:proofErr w:type="spellEnd"/>
                      <w:r w:rsidRPr="00FC0B9D">
                        <w:rPr>
                          <w:lang w:eastAsia="zh-CN"/>
                        </w:rPr>
                        <w:t>, so the earlier assumption RAN2 had made that a mobile-IAB capability could be needed to identify a UE as a mobile IAB-MT during HO might not be applicable any longer. Of course, companies may provide other arguments why they think the capability is still needed.</w:t>
                      </w:r>
                    </w:p>
                    <w:p w14:paraId="3FA7C2EB" w14:textId="77777777" w:rsidR="00B243F6" w:rsidRDefault="00B243F6"/>
                  </w:txbxContent>
                </v:textbox>
                <w10:wrap type="topAndBottom"/>
              </v:shape>
            </w:pict>
          </mc:Fallback>
        </mc:AlternateContent>
      </w:r>
      <w:r w:rsidR="0075682A">
        <w:rPr>
          <w:lang w:val="en-GB"/>
        </w:rPr>
        <w:t>The issue is:</w:t>
      </w:r>
    </w:p>
    <w:p w14:paraId="1F1E3D61" w14:textId="77777777" w:rsidR="00B243F6" w:rsidRDefault="00B243F6" w:rsidP="000E02DE">
      <w:pPr>
        <w:rPr>
          <w:lang w:val="en-GB"/>
        </w:rPr>
      </w:pPr>
    </w:p>
    <w:bookmarkEnd w:id="0"/>
    <w:p w14:paraId="20E1CD87" w14:textId="7DD647B2" w:rsidR="00D84564" w:rsidRDefault="00D84564" w:rsidP="00D84564">
      <w:r>
        <w:lastRenderedPageBreak/>
        <w:t>In RAN2#119b [1], it was agreed to introduce mobile-IAB capability to inform the CU that the IAB-MT is a “mobile IAB”:</w:t>
      </w:r>
    </w:p>
    <w:p w14:paraId="1196857E" w14:textId="77777777" w:rsidR="00D84564" w:rsidRDefault="00D84564" w:rsidP="00D84564">
      <w:pPr>
        <w:pStyle w:val="Agreement"/>
        <w:tabs>
          <w:tab w:val="clear" w:pos="2250"/>
          <w:tab w:val="left" w:pos="1619"/>
          <w:tab w:val="left" w:pos="9990"/>
        </w:tabs>
        <w:autoSpaceDN w:val="0"/>
        <w:ind w:left="1619"/>
        <w:rPr>
          <w:bCs/>
        </w:rPr>
      </w:pPr>
      <w:r>
        <w:rPr>
          <w:bCs/>
        </w:rPr>
        <w:t xml:space="preserve">UE capability </w:t>
      </w:r>
      <w:proofErr w:type="spellStart"/>
      <w:r>
        <w:rPr>
          <w:bCs/>
        </w:rPr>
        <w:t>signalling</w:t>
      </w:r>
      <w:proofErr w:type="spellEnd"/>
      <w:r>
        <w:rPr>
          <w:bCs/>
        </w:rPr>
        <w:t xml:space="preserve"> is the baseline to let CU know that the MT is a “mobile-IAB” type. FFS early mobile-IAB indication, e.g. in Msg5.</w:t>
      </w:r>
    </w:p>
    <w:p w14:paraId="568BF742" w14:textId="1FB6223E" w:rsidR="00D84564" w:rsidRDefault="008F1B52" w:rsidP="00D84564">
      <w:pPr>
        <w:spacing w:before="240"/>
      </w:pPr>
      <w:r>
        <w:t>However</w:t>
      </w:r>
      <w:r w:rsidR="00D84564">
        <w:t>, in RAN2#121b</w:t>
      </w:r>
      <w:r>
        <w:t xml:space="preserve"> [2]</w:t>
      </w:r>
      <w:r w:rsidR="003B55CD">
        <w:t xml:space="preserve"> and RAN2#124 [3]</w:t>
      </w:r>
      <w:r w:rsidR="00D84564">
        <w:t xml:space="preserve">, it was </w:t>
      </w:r>
      <w:r w:rsidR="00E22E5C">
        <w:t xml:space="preserve">also </w:t>
      </w:r>
      <w:r w:rsidR="00D84564">
        <w:t xml:space="preserve">agreed to introduce </w:t>
      </w:r>
      <w:r w:rsidR="00D84564" w:rsidRPr="001E6151">
        <w:rPr>
          <w:i/>
          <w:iCs/>
        </w:rPr>
        <w:t>mobileIAB-NodeIndication-r18</w:t>
      </w:r>
      <w:r w:rsidR="00D84564">
        <w:t xml:space="preserve"> </w:t>
      </w:r>
      <w:r w:rsidR="00430682">
        <w:t>in</w:t>
      </w:r>
      <w:r w:rsidR="00D84564">
        <w:t xml:space="preserve"> Msg5:</w:t>
      </w:r>
    </w:p>
    <w:p w14:paraId="52997990" w14:textId="77777777" w:rsidR="00D84564" w:rsidRDefault="00D84564" w:rsidP="00D84564">
      <w:pPr>
        <w:pStyle w:val="Agreement"/>
        <w:tabs>
          <w:tab w:val="clear" w:pos="2250"/>
          <w:tab w:val="left" w:pos="1619"/>
        </w:tabs>
        <w:ind w:left="1619"/>
        <w:rPr>
          <w:bCs/>
        </w:rPr>
      </w:pPr>
      <w:r>
        <w:rPr>
          <w:bCs/>
        </w:rPr>
        <w:t>The mobile IAB-MT to include a mobile-IAB indication in Msg. 5.</w:t>
      </w:r>
    </w:p>
    <w:p w14:paraId="67F248C9" w14:textId="77777777" w:rsidR="000F732E" w:rsidRDefault="000F732E" w:rsidP="000F732E">
      <w:pPr>
        <w:pStyle w:val="Agreement"/>
        <w:tabs>
          <w:tab w:val="clear" w:pos="2250"/>
          <w:tab w:val="num" w:pos="1619"/>
        </w:tabs>
        <w:ind w:left="1619"/>
      </w:pPr>
      <w:r>
        <w:t xml:space="preserve">A parent node indicates support of mobile IAB but not Rel-16/17 IAB by broadcasting the “mobile </w:t>
      </w:r>
      <w:proofErr w:type="spellStart"/>
      <w:r>
        <w:t>IABsupported</w:t>
      </w:r>
      <w:proofErr w:type="spellEnd"/>
      <w:r>
        <w:t>” indicator but not the “</w:t>
      </w:r>
      <w:proofErr w:type="spellStart"/>
      <w:r>
        <w:t>IABsupported</w:t>
      </w:r>
      <w:proofErr w:type="spellEnd"/>
      <w:r>
        <w:t>” indicator in SIB1.</w:t>
      </w:r>
    </w:p>
    <w:p w14:paraId="54DF2282" w14:textId="77777777" w:rsidR="000F732E" w:rsidRPr="00DB2AF3" w:rsidRDefault="000F732E" w:rsidP="000F732E">
      <w:pPr>
        <w:pStyle w:val="Agreement"/>
        <w:tabs>
          <w:tab w:val="clear" w:pos="2250"/>
          <w:tab w:val="num" w:pos="1619"/>
        </w:tabs>
        <w:ind w:left="1619"/>
      </w:pPr>
      <w:r>
        <w:t xml:space="preserve">A parent node indicates support of both, </w:t>
      </w:r>
      <w:bookmarkStart w:id="1" w:name="OLE_LINK34"/>
      <w:bookmarkStart w:id="2" w:name="OLE_LINK35"/>
      <w:r>
        <w:t>mobile IAB and Rel-16/17 IAB</w:t>
      </w:r>
      <w:bookmarkEnd w:id="1"/>
      <w:bookmarkEnd w:id="2"/>
      <w:r>
        <w:t xml:space="preserve">, by broadcasting “mobile </w:t>
      </w:r>
      <w:proofErr w:type="spellStart"/>
      <w:r>
        <w:t>IABsupported</w:t>
      </w:r>
      <w:proofErr w:type="spellEnd"/>
      <w:r>
        <w:t>” and “</w:t>
      </w:r>
      <w:proofErr w:type="spellStart"/>
      <w:r>
        <w:t>IABsupported</w:t>
      </w:r>
      <w:proofErr w:type="spellEnd"/>
      <w:r>
        <w:t>” in SIB1.</w:t>
      </w:r>
    </w:p>
    <w:p w14:paraId="0F3BA6C0" w14:textId="77777777" w:rsidR="000F732E" w:rsidRPr="00DB2AF3" w:rsidRDefault="000F732E" w:rsidP="000F732E">
      <w:pPr>
        <w:pStyle w:val="Agreement"/>
        <w:tabs>
          <w:tab w:val="clear" w:pos="2250"/>
          <w:tab w:val="num" w:pos="1619"/>
        </w:tabs>
        <w:ind w:left="1619"/>
        <w:rPr>
          <w:lang w:eastAsia="zh-CN"/>
        </w:rPr>
      </w:pPr>
      <w:r>
        <w:rPr>
          <w:lang w:eastAsia="zh-CN"/>
        </w:rPr>
        <w:t>From AS / R2 point of view, an IAB-node indicates capabilities to the network and the use of these are configured by the network.</w:t>
      </w:r>
    </w:p>
    <w:p w14:paraId="7E78DF33" w14:textId="77777777" w:rsidR="000F732E" w:rsidRDefault="000F732E" w:rsidP="000F732E">
      <w:pPr>
        <w:pStyle w:val="Agreement"/>
        <w:tabs>
          <w:tab w:val="clear" w:pos="2250"/>
          <w:tab w:val="num" w:pos="1619"/>
        </w:tabs>
        <w:ind w:left="1619"/>
        <w:rPr>
          <w:lang w:eastAsia="en-US"/>
        </w:rPr>
      </w:pPr>
      <w:r>
        <w:rPr>
          <w:lang w:eastAsia="en-US"/>
        </w:rPr>
        <w:t xml:space="preserve">R2 assumes that the device can know whether it is intended to operate as R18 </w:t>
      </w:r>
      <w:proofErr w:type="spellStart"/>
      <w:r>
        <w:rPr>
          <w:lang w:eastAsia="en-US"/>
        </w:rPr>
        <w:t>mIAB</w:t>
      </w:r>
      <w:proofErr w:type="spellEnd"/>
      <w:r>
        <w:rPr>
          <w:lang w:eastAsia="en-US"/>
        </w:rPr>
        <w:t xml:space="preserve"> or R16/17-IAB node, (how the device knows is outside R2 scope, e.g. subscription, device internal param </w:t>
      </w:r>
      <w:proofErr w:type="spellStart"/>
      <w:r>
        <w:rPr>
          <w:lang w:eastAsia="en-US"/>
        </w:rPr>
        <w:t>etc</w:t>
      </w:r>
      <w:proofErr w:type="spellEnd"/>
      <w:r>
        <w:rPr>
          <w:lang w:eastAsia="en-US"/>
        </w:rPr>
        <w:t xml:space="preserve">), the MSG5 indication is an indication of this intended mode of operation. This agreement is not intended to mandate that a </w:t>
      </w:r>
      <w:proofErr w:type="spellStart"/>
      <w:r>
        <w:rPr>
          <w:lang w:eastAsia="en-US"/>
        </w:rPr>
        <w:t>mIAB</w:t>
      </w:r>
      <w:proofErr w:type="spellEnd"/>
      <w:r>
        <w:rPr>
          <w:lang w:eastAsia="en-US"/>
        </w:rPr>
        <w:t xml:space="preserve"> node must support R16/17 operation (FFS pending cap discussion)</w:t>
      </w:r>
    </w:p>
    <w:p w14:paraId="6DA93C2B" w14:textId="36919BED" w:rsidR="00125B5B" w:rsidRDefault="000F732E" w:rsidP="00D84564">
      <w:pPr>
        <w:pStyle w:val="Agreement"/>
        <w:tabs>
          <w:tab w:val="clear" w:pos="2250"/>
          <w:tab w:val="num" w:pos="1619"/>
        </w:tabs>
        <w:ind w:left="1619"/>
        <w:rPr>
          <w:lang w:eastAsia="en-US"/>
        </w:rPr>
      </w:pPr>
      <w:r>
        <w:rPr>
          <w:lang w:eastAsia="en-US"/>
        </w:rPr>
        <w:t xml:space="preserve">R2 assumes that the IAB-node only indicates either </w:t>
      </w:r>
      <w:r w:rsidRPr="00DB2AF3">
        <w:rPr>
          <w:lang w:eastAsia="en-US"/>
        </w:rPr>
        <w:t xml:space="preserve">mobile IAB </w:t>
      </w:r>
      <w:r>
        <w:rPr>
          <w:lang w:eastAsia="en-US"/>
        </w:rPr>
        <w:t>or</w:t>
      </w:r>
      <w:r w:rsidRPr="00DB2AF3">
        <w:rPr>
          <w:lang w:eastAsia="en-US"/>
        </w:rPr>
        <w:t xml:space="preserve"> Rel-16/17 IAB</w:t>
      </w:r>
      <w:r>
        <w:rPr>
          <w:lang w:eastAsia="en-US"/>
        </w:rPr>
        <w:t xml:space="preserve"> for MSG5, not both. </w:t>
      </w:r>
    </w:p>
    <w:p w14:paraId="24C87694" w14:textId="77777777" w:rsidR="000F732E" w:rsidRPr="000F732E" w:rsidRDefault="000F732E" w:rsidP="000F732E">
      <w:pPr>
        <w:pStyle w:val="Doc-text2"/>
        <w:rPr>
          <w:lang w:eastAsia="en-US"/>
        </w:rPr>
      </w:pPr>
    </w:p>
    <w:p w14:paraId="5ACE01B5" w14:textId="3CBDB95E" w:rsidR="00D240C6" w:rsidRPr="005E438B" w:rsidRDefault="00D240C6" w:rsidP="00D240C6">
      <w:r>
        <w:t xml:space="preserve">Meanwhile, </w:t>
      </w:r>
      <w:r w:rsidRPr="00FC0B9D">
        <w:rPr>
          <w:lang w:eastAsia="zh-CN"/>
        </w:rPr>
        <w:t xml:space="preserve">RAN3 has now agreed to add a mobile-IAB authorization status to </w:t>
      </w:r>
      <w:proofErr w:type="spellStart"/>
      <w:r w:rsidRPr="00FC0B9D">
        <w:rPr>
          <w:lang w:eastAsia="zh-CN"/>
        </w:rPr>
        <w:t>XnAP</w:t>
      </w:r>
      <w:proofErr w:type="spellEnd"/>
      <w:r w:rsidR="004053EC">
        <w:rPr>
          <w:lang w:eastAsia="zh-CN"/>
        </w:rPr>
        <w:t xml:space="preserve">. Then, we think CU can know whether the </w:t>
      </w:r>
      <w:r w:rsidR="004053EC" w:rsidRPr="00FC0B9D">
        <w:rPr>
          <w:lang w:eastAsia="zh-CN"/>
        </w:rPr>
        <w:t>IAB-MT</w:t>
      </w:r>
      <w:r w:rsidR="004053EC">
        <w:rPr>
          <w:lang w:eastAsia="zh-CN"/>
        </w:rPr>
        <w:t xml:space="preserve"> supports mobile IAB functionality via either Msg 5 or mobile IAB authorization status via </w:t>
      </w:r>
      <w:proofErr w:type="spellStart"/>
      <w:r w:rsidR="004053EC" w:rsidRPr="00FC0B9D">
        <w:rPr>
          <w:lang w:eastAsia="zh-CN"/>
        </w:rPr>
        <w:t>XnAP</w:t>
      </w:r>
      <w:proofErr w:type="spellEnd"/>
      <w:r w:rsidR="004053EC">
        <w:rPr>
          <w:lang w:eastAsia="zh-CN"/>
        </w:rPr>
        <w:t xml:space="preserve"> during handover procedure. </w:t>
      </w:r>
      <w:r w:rsidR="002A0CE2">
        <w:rPr>
          <w:lang w:eastAsia="zh-CN"/>
        </w:rPr>
        <w:t xml:space="preserve">Therefore, there is no need to introduce </w:t>
      </w:r>
      <w:r w:rsidR="00992DCE">
        <w:rPr>
          <w:lang w:eastAsia="zh-CN"/>
        </w:rPr>
        <w:t>a</w:t>
      </w:r>
      <w:r w:rsidR="002A0CE2">
        <w:rPr>
          <w:lang w:eastAsia="zh-CN"/>
        </w:rPr>
        <w:t xml:space="preserve"> new </w:t>
      </w:r>
      <w:r w:rsidR="002A0CE2" w:rsidRPr="00FC0B9D">
        <w:rPr>
          <w:lang w:eastAsia="zh-CN"/>
        </w:rPr>
        <w:t>mobileIAB-r18 capability</w:t>
      </w:r>
      <w:r w:rsidR="002A0CE2">
        <w:rPr>
          <w:lang w:eastAsia="zh-CN"/>
        </w:rPr>
        <w:t>.</w:t>
      </w:r>
      <w:r w:rsidR="004053EC">
        <w:rPr>
          <w:lang w:eastAsia="zh-CN"/>
        </w:rPr>
        <w:t xml:space="preserve"> </w:t>
      </w:r>
    </w:p>
    <w:p w14:paraId="101BC9B8" w14:textId="77C19DC5" w:rsidR="00C27126" w:rsidRDefault="00C27126" w:rsidP="00C27126">
      <w:pPr>
        <w:spacing w:after="120"/>
        <w:rPr>
          <w:b/>
          <w:bCs/>
          <w:color w:val="auto"/>
        </w:rPr>
      </w:pPr>
      <w:r w:rsidRPr="00332162">
        <w:rPr>
          <w:b/>
          <w:bCs/>
          <w:color w:val="auto"/>
        </w:rPr>
        <w:t xml:space="preserve">Proposal </w:t>
      </w:r>
      <w:r w:rsidR="00C505BE">
        <w:rPr>
          <w:b/>
          <w:bCs/>
          <w:color w:val="auto"/>
        </w:rPr>
        <w:t>1</w:t>
      </w:r>
      <w:r w:rsidRPr="00332162">
        <w:rPr>
          <w:b/>
          <w:bCs/>
          <w:color w:val="auto"/>
        </w:rPr>
        <w:t>:</w:t>
      </w:r>
      <w:r>
        <w:rPr>
          <w:b/>
          <w:bCs/>
          <w:color w:val="auto"/>
        </w:rPr>
        <w:t xml:space="preserve"> </w:t>
      </w:r>
      <w:r w:rsidR="00FD3E6B">
        <w:rPr>
          <w:rFonts w:hint="eastAsia"/>
          <w:b/>
          <w:bCs/>
          <w:color w:val="auto"/>
          <w:lang w:eastAsia="zh-CN"/>
        </w:rPr>
        <w:t>T</w:t>
      </w:r>
      <w:r w:rsidR="002A0CE2" w:rsidRPr="002A0CE2">
        <w:rPr>
          <w:b/>
          <w:bCs/>
          <w:color w:val="auto"/>
        </w:rPr>
        <w:t xml:space="preserve">here is no need to introduce </w:t>
      </w:r>
      <w:r w:rsidR="00173833">
        <w:rPr>
          <w:b/>
          <w:bCs/>
          <w:color w:val="auto"/>
        </w:rPr>
        <w:t>a</w:t>
      </w:r>
      <w:r w:rsidR="002A0CE2" w:rsidRPr="002A0CE2">
        <w:rPr>
          <w:b/>
          <w:bCs/>
          <w:color w:val="auto"/>
        </w:rPr>
        <w:t xml:space="preserve"> new mobileIAB-r18 capability for IAB-MT.</w:t>
      </w:r>
    </w:p>
    <w:p w14:paraId="1011B2AF" w14:textId="59CAF8D8" w:rsidR="00E56278" w:rsidRDefault="00E56278" w:rsidP="00E56278">
      <w:pPr>
        <w:pStyle w:val="Heading2"/>
      </w:pPr>
      <w:r>
        <w:t xml:space="preserve">2.2 Issue 2 </w:t>
      </w:r>
    </w:p>
    <w:p w14:paraId="00108F28" w14:textId="16B49894" w:rsidR="00732AB9" w:rsidRDefault="00DD6FAC" w:rsidP="002B6250">
      <w:pPr>
        <w:rPr>
          <w:lang w:val="en-GB"/>
        </w:rPr>
      </w:pPr>
      <w:r>
        <w:rPr>
          <w:noProof/>
          <w:lang w:val="en-GB"/>
        </w:rPr>
        <mc:AlternateContent>
          <mc:Choice Requires="wps">
            <w:drawing>
              <wp:anchor distT="0" distB="0" distL="114300" distR="114300" simplePos="0" relativeHeight="251661312" behindDoc="0" locked="0" layoutInCell="1" allowOverlap="1" wp14:anchorId="3FE855BA" wp14:editId="186B41EF">
                <wp:simplePos x="0" y="0"/>
                <wp:positionH relativeFrom="column">
                  <wp:posOffset>30480</wp:posOffset>
                </wp:positionH>
                <wp:positionV relativeFrom="paragraph">
                  <wp:posOffset>261620</wp:posOffset>
                </wp:positionV>
                <wp:extent cx="6123305" cy="2800350"/>
                <wp:effectExtent l="0" t="0" r="10795" b="19050"/>
                <wp:wrapTopAndBottom/>
                <wp:docPr id="1613015790" name="Text Box 1"/>
                <wp:cNvGraphicFramePr/>
                <a:graphic xmlns:a="http://schemas.openxmlformats.org/drawingml/2006/main">
                  <a:graphicData uri="http://schemas.microsoft.com/office/word/2010/wordprocessingShape">
                    <wps:wsp>
                      <wps:cNvSpPr txBox="1"/>
                      <wps:spPr>
                        <a:xfrm>
                          <a:off x="0" y="0"/>
                          <a:ext cx="6123305" cy="2800350"/>
                        </a:xfrm>
                        <a:prstGeom prst="rect">
                          <a:avLst/>
                        </a:prstGeom>
                        <a:solidFill>
                          <a:schemeClr val="lt1"/>
                        </a:solidFill>
                        <a:ln w="6350">
                          <a:solidFill>
                            <a:prstClr val="black"/>
                          </a:solidFill>
                        </a:ln>
                      </wps:spPr>
                      <wps:txbx>
                        <w:txbxContent>
                          <w:p w14:paraId="12E9F050" w14:textId="77777777" w:rsidR="00DD6FAC" w:rsidRPr="00FC0B9D" w:rsidRDefault="00DD6FAC" w:rsidP="00DD6FAC">
                            <w:pPr>
                              <w:pStyle w:val="NO"/>
                              <w:numPr>
                                <w:ilvl w:val="0"/>
                                <w:numId w:val="15"/>
                              </w:numPr>
                              <w:rPr>
                                <w:lang w:eastAsia="zh-CN"/>
                              </w:rPr>
                            </w:pPr>
                            <w:r w:rsidRPr="00FC0B9D">
                              <w:rPr>
                                <w:lang w:eastAsia="zh-CN"/>
                              </w:rPr>
                              <w:t xml:space="preserve">Issue 2:  Whether to differentiate the </w:t>
                            </w:r>
                            <w:proofErr w:type="spellStart"/>
                            <w:r w:rsidRPr="00FC0B9D">
                              <w:rPr>
                                <w:lang w:eastAsia="zh-CN"/>
                              </w:rPr>
                              <w:t>mIAB</w:t>
                            </w:r>
                            <w:proofErr w:type="spellEnd"/>
                            <w:r w:rsidRPr="00FC0B9D">
                              <w:rPr>
                                <w:lang w:eastAsia="zh-CN"/>
                              </w:rPr>
                              <w:t xml:space="preserve"> RACH-less HO capability (/capabilities) from NTN RACH-</w:t>
                            </w:r>
                            <w:proofErr w:type="gramStart"/>
                            <w:r w:rsidRPr="00FC0B9D">
                              <w:rPr>
                                <w:lang w:eastAsia="zh-CN"/>
                              </w:rPr>
                              <w:t>less</w:t>
                            </w:r>
                            <w:proofErr w:type="gramEnd"/>
                          </w:p>
                          <w:p w14:paraId="33B4F96A" w14:textId="77777777" w:rsidR="00DD6FAC" w:rsidRPr="00FC0B9D" w:rsidRDefault="00DD6FAC" w:rsidP="00DD6FAC">
                            <w:pPr>
                              <w:pStyle w:val="NO"/>
                              <w:numPr>
                                <w:ilvl w:val="1"/>
                                <w:numId w:val="15"/>
                              </w:numPr>
                              <w:rPr>
                                <w:lang w:eastAsia="zh-CN"/>
                              </w:rPr>
                            </w:pPr>
                            <w:r w:rsidRPr="00FC0B9D">
                              <w:rPr>
                                <w:lang w:eastAsia="zh-CN"/>
                              </w:rPr>
                              <w:t xml:space="preserve">Last meeting, RAN2 introduced an NTN-specific RACH-less capability, </w:t>
                            </w:r>
                            <w:r w:rsidRPr="00FC0B9D">
                              <w:rPr>
                                <w:i/>
                                <w:iCs/>
                                <w:lang w:eastAsia="zh-CN"/>
                              </w:rPr>
                              <w:t>rachLessHandoverNTN-r18</w:t>
                            </w:r>
                            <w:r w:rsidRPr="00FC0B9D">
                              <w:rPr>
                                <w:lang w:eastAsia="zh-CN"/>
                              </w:rPr>
                              <w:t>.</w:t>
                            </w:r>
                          </w:p>
                          <w:p w14:paraId="40D134DE" w14:textId="77777777" w:rsidR="00DD6FAC" w:rsidRPr="004D0877" w:rsidRDefault="00DD6FAC" w:rsidP="00DD6FAC">
                            <w:pPr>
                              <w:pStyle w:val="NO"/>
                              <w:numPr>
                                <w:ilvl w:val="1"/>
                                <w:numId w:val="15"/>
                              </w:numPr>
                              <w:rPr>
                                <w:lang w:eastAsia="zh-CN"/>
                              </w:rPr>
                            </w:pPr>
                            <w:r w:rsidRPr="00FC0B9D">
                              <w:rPr>
                                <w:lang w:eastAsia="zh-CN"/>
                              </w:rPr>
                              <w:t xml:space="preserve">And for </w:t>
                            </w:r>
                            <w:proofErr w:type="spellStart"/>
                            <w:r w:rsidRPr="00FC0B9D">
                              <w:rPr>
                                <w:lang w:eastAsia="zh-CN"/>
                              </w:rPr>
                              <w:t>mIAB</w:t>
                            </w:r>
                            <w:proofErr w:type="spellEnd"/>
                            <w:r w:rsidRPr="00FC0B9D">
                              <w:rPr>
                                <w:lang w:eastAsia="zh-CN"/>
                              </w:rPr>
                              <w:t xml:space="preserve">, RAN2 </w:t>
                            </w:r>
                            <w:r>
                              <w:rPr>
                                <w:lang w:eastAsia="zh-CN"/>
                              </w:rPr>
                              <w:t xml:space="preserve">also </w:t>
                            </w:r>
                            <w:r w:rsidRPr="00FC0B9D">
                              <w:rPr>
                                <w:lang w:eastAsia="zh-CN"/>
                              </w:rPr>
                              <w:t>made the following agreements for RACH-less capabilities:</w:t>
                            </w:r>
                          </w:p>
                          <w:p w14:paraId="34E60EED" w14:textId="77777777" w:rsidR="00DD6FAC" w:rsidRDefault="00DD6FAC" w:rsidP="00DD6FAC">
                            <w:pPr>
                              <w:pStyle w:val="Agreement"/>
                              <w:tabs>
                                <w:tab w:val="clear" w:pos="2250"/>
                                <w:tab w:val="num" w:pos="1619"/>
                              </w:tabs>
                              <w:ind w:left="1619"/>
                            </w:pPr>
                            <w:r>
                              <w:t xml:space="preserve">If a threshold for DG, e.g. for validation, is agreed (for NTN) the usage of the threshold is configurable and whether to support it is a UE cap. (it is assumed that for </w:t>
                            </w:r>
                            <w:proofErr w:type="spellStart"/>
                            <w:r>
                              <w:t>mIAB</w:t>
                            </w:r>
                            <w:proofErr w:type="spellEnd"/>
                            <w:r>
                              <w:t xml:space="preserve"> this is not needed).</w:t>
                            </w:r>
                          </w:p>
                          <w:p w14:paraId="78D7719C" w14:textId="77777777" w:rsidR="00DD6FAC" w:rsidRDefault="00DD6FAC" w:rsidP="00DD6FAC">
                            <w:pPr>
                              <w:pStyle w:val="Agreement"/>
                              <w:tabs>
                                <w:tab w:val="clear" w:pos="2250"/>
                                <w:tab w:val="num" w:pos="1619"/>
                              </w:tabs>
                              <w:ind w:left="1619"/>
                            </w:pPr>
                            <w:r>
                              <w:t>1: CG RACH less and DG RACH less are separate UE caps</w:t>
                            </w:r>
                          </w:p>
                          <w:p w14:paraId="7C2E73DD" w14:textId="77777777" w:rsidR="00DD6FAC" w:rsidRDefault="00DD6FAC" w:rsidP="00DD6FAC">
                            <w:pPr>
                              <w:pStyle w:val="Agreement"/>
                              <w:tabs>
                                <w:tab w:val="clear" w:pos="2250"/>
                                <w:tab w:val="num" w:pos="1619"/>
                              </w:tabs>
                              <w:ind w:left="1619"/>
                            </w:pPr>
                            <w:r>
                              <w:t xml:space="preserve">2: CG RACH less is not assumed to be important for IAB and need not to be optimized for the IAB scenario (but also no strict need to prohibit). </w:t>
                            </w:r>
                          </w:p>
                          <w:p w14:paraId="1D1FF1C7" w14:textId="77777777" w:rsidR="00DD6FAC" w:rsidRPr="00F7461F" w:rsidRDefault="00DD6FAC" w:rsidP="00DD6FAC">
                            <w:pPr>
                              <w:pStyle w:val="Doc-text2"/>
                            </w:pPr>
                          </w:p>
                          <w:p w14:paraId="6D8B28F2" w14:textId="77777777" w:rsidR="00DD6FAC" w:rsidRPr="007312A6" w:rsidRDefault="00DD6FAC" w:rsidP="00DD6FAC">
                            <w:pPr>
                              <w:pStyle w:val="NO"/>
                              <w:numPr>
                                <w:ilvl w:val="1"/>
                                <w:numId w:val="15"/>
                              </w:numPr>
                              <w:rPr>
                                <w:lang w:eastAsia="zh-CN"/>
                              </w:rPr>
                            </w:pPr>
                            <w:r w:rsidRPr="00FC0B9D">
                              <w:rPr>
                                <w:lang w:eastAsia="zh-CN"/>
                              </w:rPr>
                              <w:t xml:space="preserve">However, based on v00 of the RAN2#125 agenda shared by Diana last month, I understand that there will be some discussion at the next meeting whether NTN and </w:t>
                            </w:r>
                            <w:proofErr w:type="spellStart"/>
                            <w:r w:rsidRPr="00FC0B9D">
                              <w:rPr>
                                <w:lang w:eastAsia="zh-CN"/>
                              </w:rPr>
                              <w:t>mIAB</w:t>
                            </w:r>
                            <w:proofErr w:type="spellEnd"/>
                            <w:r w:rsidRPr="00FC0B9D">
                              <w:rPr>
                                <w:lang w:eastAsia="zh-CN"/>
                              </w:rPr>
                              <w:t xml:space="preserve"> RACH-less will be specified independently in Rel-18, which would impact how we specify the RACH-less capabilities. Therefore, my suggestion is that companies should also be prepared to discuss this issue as part of AI 7.0.</w:t>
                            </w:r>
                          </w:p>
                          <w:p w14:paraId="1D83648D" w14:textId="77777777" w:rsidR="00DD6FAC" w:rsidRDefault="00DD6FAC" w:rsidP="00DD6FA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E855BA" id="_x0000_s1027" type="#_x0000_t202" style="position:absolute;margin-left:2.4pt;margin-top:20.6pt;width:482.15pt;height:22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" fillcolor="white [3201]" strokeweight=".5pt">
                <v:textbox>
                  <w:txbxContent>
                    <w:p w14:paraId="12E9F050" w14:textId="77777777" w:rsidR="00DD6FAC" w:rsidRPr="00FC0B9D" w:rsidRDefault="00DD6FAC" w:rsidP="00DD6FAC">
                      <w:pPr>
                        <w:pStyle w:val="NO"/>
                        <w:numPr>
                          <w:ilvl w:val="0"/>
                          <w:numId w:val="15"/>
                        </w:numPr>
                        <w:rPr>
                          <w:lang w:eastAsia="zh-CN"/>
                        </w:rPr>
                      </w:pPr>
                      <w:r w:rsidRPr="00FC0B9D">
                        <w:rPr>
                          <w:lang w:eastAsia="zh-CN"/>
                        </w:rPr>
                        <w:t xml:space="preserve">Issue 2:  Whether to differentiate the </w:t>
                      </w:r>
                      <w:proofErr w:type="spellStart"/>
                      <w:r w:rsidRPr="00FC0B9D">
                        <w:rPr>
                          <w:lang w:eastAsia="zh-CN"/>
                        </w:rPr>
                        <w:t>mIAB</w:t>
                      </w:r>
                      <w:proofErr w:type="spellEnd"/>
                      <w:r w:rsidRPr="00FC0B9D">
                        <w:rPr>
                          <w:lang w:eastAsia="zh-CN"/>
                        </w:rPr>
                        <w:t xml:space="preserve"> RACH-less HO capability (/capabilities) from NTN RACH-</w:t>
                      </w:r>
                      <w:proofErr w:type="gramStart"/>
                      <w:r w:rsidRPr="00FC0B9D">
                        <w:rPr>
                          <w:lang w:eastAsia="zh-CN"/>
                        </w:rPr>
                        <w:t>less</w:t>
                      </w:r>
                      <w:proofErr w:type="gramEnd"/>
                    </w:p>
                    <w:p w14:paraId="33B4F96A" w14:textId="77777777" w:rsidR="00DD6FAC" w:rsidRPr="00FC0B9D" w:rsidRDefault="00DD6FAC" w:rsidP="00DD6FAC">
                      <w:pPr>
                        <w:pStyle w:val="NO"/>
                        <w:numPr>
                          <w:ilvl w:val="1"/>
                          <w:numId w:val="15"/>
                        </w:numPr>
                        <w:rPr>
                          <w:lang w:eastAsia="zh-CN"/>
                        </w:rPr>
                      </w:pPr>
                      <w:r w:rsidRPr="00FC0B9D">
                        <w:rPr>
                          <w:lang w:eastAsia="zh-CN"/>
                        </w:rPr>
                        <w:t xml:space="preserve">Last meeting, RAN2 introduced an NTN-specific RACH-less capability, </w:t>
                      </w:r>
                      <w:r w:rsidRPr="00FC0B9D">
                        <w:rPr>
                          <w:i/>
                          <w:iCs/>
                          <w:lang w:eastAsia="zh-CN"/>
                        </w:rPr>
                        <w:t>rachLessHandoverNTN-r18</w:t>
                      </w:r>
                      <w:r w:rsidRPr="00FC0B9D">
                        <w:rPr>
                          <w:lang w:eastAsia="zh-CN"/>
                        </w:rPr>
                        <w:t>.</w:t>
                      </w:r>
                    </w:p>
                    <w:p w14:paraId="40D134DE" w14:textId="77777777" w:rsidR="00DD6FAC" w:rsidRPr="004D0877" w:rsidRDefault="00DD6FAC" w:rsidP="00DD6FAC">
                      <w:pPr>
                        <w:pStyle w:val="NO"/>
                        <w:numPr>
                          <w:ilvl w:val="1"/>
                          <w:numId w:val="15"/>
                        </w:numPr>
                        <w:rPr>
                          <w:lang w:eastAsia="zh-CN"/>
                        </w:rPr>
                      </w:pPr>
                      <w:r w:rsidRPr="00FC0B9D">
                        <w:rPr>
                          <w:lang w:eastAsia="zh-CN"/>
                        </w:rPr>
                        <w:t xml:space="preserve">And for </w:t>
                      </w:r>
                      <w:proofErr w:type="spellStart"/>
                      <w:r w:rsidRPr="00FC0B9D">
                        <w:rPr>
                          <w:lang w:eastAsia="zh-CN"/>
                        </w:rPr>
                        <w:t>mIAB</w:t>
                      </w:r>
                      <w:proofErr w:type="spellEnd"/>
                      <w:r w:rsidRPr="00FC0B9D">
                        <w:rPr>
                          <w:lang w:eastAsia="zh-CN"/>
                        </w:rPr>
                        <w:t xml:space="preserve">, RAN2 </w:t>
                      </w:r>
                      <w:r>
                        <w:rPr>
                          <w:lang w:eastAsia="zh-CN"/>
                        </w:rPr>
                        <w:t xml:space="preserve">also </w:t>
                      </w:r>
                      <w:r w:rsidRPr="00FC0B9D">
                        <w:rPr>
                          <w:lang w:eastAsia="zh-CN"/>
                        </w:rPr>
                        <w:t>made the following agreements for RACH-less capabilities:</w:t>
                      </w:r>
                    </w:p>
                    <w:p w14:paraId="34E60EED" w14:textId="77777777" w:rsidR="00DD6FAC" w:rsidRDefault="00DD6FAC" w:rsidP="00DD6FAC">
                      <w:pPr>
                        <w:pStyle w:val="Agreement"/>
                        <w:tabs>
                          <w:tab w:val="clear" w:pos="2250"/>
                          <w:tab w:val="num" w:pos="1619"/>
                        </w:tabs>
                        <w:ind w:left="1619"/>
                      </w:pPr>
                      <w:r>
                        <w:t xml:space="preserve">If a threshold for DG, e.g. for validation, is agreed (for NTN) the usage of the threshold is configurable and whether to support it is a UE cap. (it is assumed that for </w:t>
                      </w:r>
                      <w:proofErr w:type="spellStart"/>
                      <w:r>
                        <w:t>mIAB</w:t>
                      </w:r>
                      <w:proofErr w:type="spellEnd"/>
                      <w:r>
                        <w:t xml:space="preserve"> this is not needed).</w:t>
                      </w:r>
                    </w:p>
                    <w:p w14:paraId="78D7719C" w14:textId="77777777" w:rsidR="00DD6FAC" w:rsidRDefault="00DD6FAC" w:rsidP="00DD6FAC">
                      <w:pPr>
                        <w:pStyle w:val="Agreement"/>
                        <w:tabs>
                          <w:tab w:val="clear" w:pos="2250"/>
                          <w:tab w:val="num" w:pos="1619"/>
                        </w:tabs>
                        <w:ind w:left="1619"/>
                      </w:pPr>
                      <w:r>
                        <w:t>1: CG RACH less and DG RACH less are separate UE caps</w:t>
                      </w:r>
                    </w:p>
                    <w:p w14:paraId="7C2E73DD" w14:textId="77777777" w:rsidR="00DD6FAC" w:rsidRDefault="00DD6FAC" w:rsidP="00DD6FAC">
                      <w:pPr>
                        <w:pStyle w:val="Agreement"/>
                        <w:tabs>
                          <w:tab w:val="clear" w:pos="2250"/>
                          <w:tab w:val="num" w:pos="1619"/>
                        </w:tabs>
                        <w:ind w:left="1619"/>
                      </w:pPr>
                      <w:r>
                        <w:t xml:space="preserve">2: CG RACH less is not assumed to be important for IAB and need not to be optimized for the IAB scenario (but also no strict need to prohibit). </w:t>
                      </w:r>
                    </w:p>
                    <w:p w14:paraId="1D1FF1C7" w14:textId="77777777" w:rsidR="00DD6FAC" w:rsidRPr="00F7461F" w:rsidRDefault="00DD6FAC" w:rsidP="00DD6FAC">
                      <w:pPr>
                        <w:pStyle w:val="Doc-text2"/>
                      </w:pPr>
                    </w:p>
                    <w:p w14:paraId="6D8B28F2" w14:textId="77777777" w:rsidR="00DD6FAC" w:rsidRPr="007312A6" w:rsidRDefault="00DD6FAC" w:rsidP="00DD6FAC">
                      <w:pPr>
                        <w:pStyle w:val="NO"/>
                        <w:numPr>
                          <w:ilvl w:val="1"/>
                          <w:numId w:val="15"/>
                        </w:numPr>
                        <w:rPr>
                          <w:lang w:eastAsia="zh-CN"/>
                        </w:rPr>
                      </w:pPr>
                      <w:r w:rsidRPr="00FC0B9D">
                        <w:rPr>
                          <w:lang w:eastAsia="zh-CN"/>
                        </w:rPr>
                        <w:t xml:space="preserve">However, based on v00 of the RAN2#125 agenda shared by Diana last month, I understand that there will be some discussion at the next meeting whether NTN and </w:t>
                      </w:r>
                      <w:proofErr w:type="spellStart"/>
                      <w:r w:rsidRPr="00FC0B9D">
                        <w:rPr>
                          <w:lang w:eastAsia="zh-CN"/>
                        </w:rPr>
                        <w:t>mIAB</w:t>
                      </w:r>
                      <w:proofErr w:type="spellEnd"/>
                      <w:r w:rsidRPr="00FC0B9D">
                        <w:rPr>
                          <w:lang w:eastAsia="zh-CN"/>
                        </w:rPr>
                        <w:t xml:space="preserve"> RACH-less will be specified independently in Rel-18, which would impact how we specify the RACH-less capabilities. Therefore, my suggestion is that companies should also be prepared to discuss this issue as part of AI 7.0.</w:t>
                      </w:r>
                    </w:p>
                    <w:p w14:paraId="1D83648D" w14:textId="77777777" w:rsidR="00DD6FAC" w:rsidRDefault="00DD6FAC" w:rsidP="00DD6FAC"/>
                  </w:txbxContent>
                </v:textbox>
                <w10:wrap type="topAndBottom"/>
              </v:shape>
            </w:pict>
          </mc:Fallback>
        </mc:AlternateContent>
      </w:r>
      <w:r>
        <w:rPr>
          <w:lang w:val="en-GB"/>
        </w:rPr>
        <w:t>The issue is:</w:t>
      </w:r>
    </w:p>
    <w:p w14:paraId="574B51D2" w14:textId="3760C6BA" w:rsidR="00DD6FAC" w:rsidRDefault="00DD6FAC" w:rsidP="002B6250">
      <w:pPr>
        <w:rPr>
          <w:lang w:val="en-GB"/>
        </w:rPr>
      </w:pPr>
    </w:p>
    <w:p w14:paraId="323E2770" w14:textId="4BFB345C" w:rsidR="008C5B06" w:rsidRDefault="008C5B06" w:rsidP="008C5B06">
      <w:pPr>
        <w:rPr>
          <w:lang w:eastAsia="zh-CN"/>
        </w:rPr>
      </w:pPr>
      <w:r>
        <w:rPr>
          <w:lang w:eastAsia="zh-CN"/>
        </w:rPr>
        <w:t xml:space="preserve">According to previous discussion we think </w:t>
      </w:r>
      <w:r w:rsidR="005C4134">
        <w:rPr>
          <w:lang w:eastAsia="zh-CN"/>
        </w:rPr>
        <w:t xml:space="preserve">there are </w:t>
      </w:r>
      <w:r>
        <w:rPr>
          <w:lang w:eastAsia="zh-CN"/>
        </w:rPr>
        <w:t xml:space="preserve">at least below </w:t>
      </w:r>
      <w:r w:rsidR="00B917F5">
        <w:rPr>
          <w:lang w:eastAsia="zh-CN"/>
        </w:rPr>
        <w:t>3</w:t>
      </w:r>
      <w:r>
        <w:rPr>
          <w:lang w:eastAsia="zh-CN"/>
        </w:rPr>
        <w:t xml:space="preserve"> differences between RACH-less HO in NTN and RACH-less HO in mobile IAB:</w:t>
      </w:r>
    </w:p>
    <w:p w14:paraId="157BCC55" w14:textId="13EBFFB8" w:rsidR="008C5B06" w:rsidRDefault="008C5B06" w:rsidP="008C5B06">
      <w:pPr>
        <w:pStyle w:val="ListParagraph"/>
        <w:numPr>
          <w:ilvl w:val="0"/>
          <w:numId w:val="17"/>
        </w:numPr>
        <w:ind w:firstLineChars="0"/>
        <w:rPr>
          <w:lang w:eastAsia="zh-CN"/>
        </w:rPr>
      </w:pPr>
      <w:r>
        <w:rPr>
          <w:lang w:eastAsia="zh-CN"/>
        </w:rPr>
        <w:t>NTA=0 is not applicable</w:t>
      </w:r>
      <w:r w:rsidR="003537C8">
        <w:rPr>
          <w:lang w:eastAsia="zh-CN"/>
        </w:rPr>
        <w:t xml:space="preserve"> to mobile IAB but applicable to NTN</w:t>
      </w:r>
      <w:r>
        <w:rPr>
          <w:lang w:eastAsia="zh-CN"/>
        </w:rPr>
        <w:t>.</w:t>
      </w:r>
    </w:p>
    <w:p w14:paraId="495A87C9" w14:textId="7C8D372A" w:rsidR="008C5B06" w:rsidRDefault="008C5B06" w:rsidP="008C5B06">
      <w:pPr>
        <w:pStyle w:val="ListParagraph"/>
        <w:numPr>
          <w:ilvl w:val="0"/>
          <w:numId w:val="17"/>
        </w:numPr>
        <w:ind w:firstLineChars="0"/>
        <w:rPr>
          <w:lang w:eastAsia="zh-CN"/>
        </w:rPr>
      </w:pPr>
      <w:r>
        <w:rPr>
          <w:lang w:eastAsia="zh-CN"/>
        </w:rPr>
        <w:lastRenderedPageBreak/>
        <w:t>Unchanged PCI scenario is not supported</w:t>
      </w:r>
      <w:r w:rsidR="007A6568">
        <w:rPr>
          <w:lang w:eastAsia="zh-CN"/>
        </w:rPr>
        <w:t xml:space="preserve"> in mobile IAB but applicable to NTN</w:t>
      </w:r>
      <w:r>
        <w:rPr>
          <w:lang w:eastAsia="zh-CN"/>
        </w:rPr>
        <w:t>.</w:t>
      </w:r>
    </w:p>
    <w:p w14:paraId="6070D4A2" w14:textId="5A4DD3C1" w:rsidR="007A6568" w:rsidRDefault="007A6568" w:rsidP="008C5B06">
      <w:pPr>
        <w:pStyle w:val="ListParagraph"/>
        <w:numPr>
          <w:ilvl w:val="0"/>
          <w:numId w:val="17"/>
        </w:numPr>
        <w:ind w:firstLineChars="0"/>
        <w:rPr>
          <w:lang w:eastAsia="zh-CN"/>
        </w:rPr>
      </w:pPr>
      <w:r>
        <w:rPr>
          <w:lang w:eastAsia="zh-CN"/>
        </w:rPr>
        <w:t xml:space="preserve">For beam indication in dynamic grant, TCI state is used in mobile while SSB index is used in NTN.  </w:t>
      </w:r>
    </w:p>
    <w:p w14:paraId="3117F89F" w14:textId="77777777" w:rsidR="008C5B06" w:rsidRDefault="008C5B06" w:rsidP="008C5B06">
      <w:pPr>
        <w:rPr>
          <w:lang w:eastAsia="zh-CN"/>
        </w:rPr>
      </w:pPr>
      <w:r>
        <w:rPr>
          <w:lang w:eastAsia="zh-CN"/>
        </w:rPr>
        <w:t>Thus, there are difference to support RACH-less HO in mobile IAB and RACH-less HO in NTN. Then, we think the separate capability is needed.</w:t>
      </w:r>
    </w:p>
    <w:p w14:paraId="3074208A" w14:textId="09E985DD" w:rsidR="004337F6" w:rsidRDefault="008C5B06" w:rsidP="00EE4C62">
      <w:pPr>
        <w:rPr>
          <w:b/>
          <w:bCs/>
          <w:color w:val="auto"/>
        </w:rPr>
      </w:pPr>
      <w:r>
        <w:rPr>
          <w:b/>
          <w:bCs/>
          <w:color w:val="auto"/>
        </w:rPr>
        <w:t xml:space="preserve">Proposal </w:t>
      </w:r>
      <w:r w:rsidR="00EE4C62">
        <w:rPr>
          <w:b/>
          <w:bCs/>
          <w:color w:val="auto"/>
        </w:rPr>
        <w:t>2</w:t>
      </w:r>
      <w:r w:rsidRPr="00B27A2A">
        <w:rPr>
          <w:b/>
          <w:bCs/>
          <w:color w:val="auto"/>
        </w:rPr>
        <w:t xml:space="preserve">: </w:t>
      </w:r>
      <w:r>
        <w:rPr>
          <w:b/>
          <w:bCs/>
          <w:color w:val="auto"/>
        </w:rPr>
        <w:t xml:space="preserve">RAN2 introduce a separate </w:t>
      </w:r>
      <w:r w:rsidRPr="00254573">
        <w:rPr>
          <w:b/>
          <w:bCs/>
          <w:color w:val="auto"/>
        </w:rPr>
        <w:t>capability</w:t>
      </w:r>
      <w:r>
        <w:rPr>
          <w:b/>
          <w:bCs/>
          <w:color w:val="auto"/>
        </w:rPr>
        <w:t xml:space="preserve"> of RACH-less HO in mobile IAB. </w:t>
      </w:r>
    </w:p>
    <w:p w14:paraId="465F0B72" w14:textId="77777777" w:rsidR="00EE4C62" w:rsidRPr="00EE4C62" w:rsidRDefault="00EE4C62" w:rsidP="00EE4C62">
      <w:pPr>
        <w:rPr>
          <w:b/>
          <w:bCs/>
          <w:color w:val="auto"/>
        </w:rPr>
      </w:pPr>
    </w:p>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5240619" w14:textId="6142A7F5" w:rsidR="00524BED" w:rsidRPr="005E1BC9" w:rsidRDefault="00C231DA" w:rsidP="006948E4">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D081E">
        <w:rPr>
          <w:lang w:eastAsia="zh-CN"/>
        </w:rPr>
        <w:t xml:space="preserve"> </w:t>
      </w:r>
      <w:r w:rsidR="00F930FB">
        <w:rPr>
          <w:lang w:eastAsia="zh-CN"/>
        </w:rPr>
        <w:t>open</w:t>
      </w:r>
      <w:r w:rsidR="008E7C35">
        <w:rPr>
          <w:lang w:eastAsia="zh-CN"/>
        </w:rPr>
        <w:t xml:space="preserve"> issue</w:t>
      </w:r>
      <w:r w:rsidR="00F930FB">
        <w:rPr>
          <w:lang w:eastAsia="zh-CN"/>
        </w:rPr>
        <w:t>s on UE capability in mobile IAB</w:t>
      </w:r>
      <w:r w:rsidR="007671DD">
        <w:rPr>
          <w:lang w:eastAsia="zh-CN"/>
        </w:rPr>
        <w:t>.</w:t>
      </w:r>
      <w:r w:rsidR="006948E4">
        <w:rPr>
          <w:lang w:eastAsia="zh-CN"/>
        </w:rPr>
        <w:t xml:space="preserve"> O</w:t>
      </w:r>
      <w:r w:rsidR="001B3C22">
        <w:rPr>
          <w:lang w:eastAsia="zh-CN"/>
        </w:rPr>
        <w:t>ur proposals</w:t>
      </w:r>
      <w:r w:rsidR="009A733D">
        <w:rPr>
          <w:lang w:eastAsia="zh-CN"/>
        </w:rPr>
        <w:t xml:space="preserve"> can be found below. </w:t>
      </w:r>
    </w:p>
    <w:p w14:paraId="67A4E659" w14:textId="3D4DB32C" w:rsidR="0022764C" w:rsidRDefault="0022764C" w:rsidP="0022764C">
      <w:pPr>
        <w:rPr>
          <w:b/>
          <w:bCs/>
          <w:color w:val="auto"/>
        </w:rPr>
      </w:pPr>
      <w:r w:rsidRPr="00332162">
        <w:rPr>
          <w:b/>
          <w:bCs/>
          <w:color w:val="auto"/>
        </w:rPr>
        <w:t xml:space="preserve">Proposal </w:t>
      </w:r>
      <w:r>
        <w:rPr>
          <w:b/>
          <w:bCs/>
          <w:color w:val="auto"/>
        </w:rPr>
        <w:t>1</w:t>
      </w:r>
      <w:r w:rsidRPr="00332162">
        <w:rPr>
          <w:b/>
          <w:bCs/>
          <w:color w:val="auto"/>
        </w:rPr>
        <w:t>:</w:t>
      </w:r>
      <w:r>
        <w:rPr>
          <w:b/>
          <w:bCs/>
          <w:color w:val="auto"/>
        </w:rPr>
        <w:t xml:space="preserve"> </w:t>
      </w:r>
      <w:r w:rsidR="00F52B5B">
        <w:rPr>
          <w:rFonts w:hint="eastAsia"/>
          <w:b/>
          <w:bCs/>
          <w:color w:val="auto"/>
          <w:lang w:eastAsia="zh-CN"/>
        </w:rPr>
        <w:t>T</w:t>
      </w:r>
      <w:r w:rsidRPr="002A0CE2">
        <w:rPr>
          <w:b/>
          <w:bCs/>
          <w:color w:val="auto"/>
        </w:rPr>
        <w:t xml:space="preserve">here is no need to introduce </w:t>
      </w:r>
      <w:r w:rsidR="004B4142">
        <w:rPr>
          <w:b/>
          <w:bCs/>
          <w:color w:val="auto"/>
        </w:rPr>
        <w:t>a</w:t>
      </w:r>
      <w:r w:rsidRPr="002A0CE2">
        <w:rPr>
          <w:b/>
          <w:bCs/>
          <w:color w:val="auto"/>
        </w:rPr>
        <w:t xml:space="preserve"> new mobileIAB-r18 capability for IAB-MT.</w:t>
      </w:r>
    </w:p>
    <w:p w14:paraId="6E3F9EDE" w14:textId="41266775" w:rsidR="0022764C" w:rsidRDefault="0022764C" w:rsidP="0022764C">
      <w:pPr>
        <w:rPr>
          <w:b/>
          <w:bCs/>
          <w:color w:val="auto"/>
        </w:rPr>
      </w:pPr>
      <w:r>
        <w:rPr>
          <w:b/>
          <w:bCs/>
          <w:color w:val="auto"/>
        </w:rPr>
        <w:t>Proposal 2</w:t>
      </w:r>
      <w:r w:rsidRPr="00B27A2A">
        <w:rPr>
          <w:b/>
          <w:bCs/>
          <w:color w:val="auto"/>
        </w:rPr>
        <w:t xml:space="preserve">: </w:t>
      </w:r>
      <w:r>
        <w:rPr>
          <w:b/>
          <w:bCs/>
          <w:color w:val="auto"/>
        </w:rPr>
        <w:t xml:space="preserve">RAN2 introduce a separate </w:t>
      </w:r>
      <w:r w:rsidRPr="00254573">
        <w:rPr>
          <w:b/>
          <w:bCs/>
          <w:color w:val="auto"/>
        </w:rPr>
        <w:t>capability</w:t>
      </w:r>
      <w:r>
        <w:rPr>
          <w:b/>
          <w:bCs/>
          <w:color w:val="auto"/>
        </w:rPr>
        <w:t xml:space="preserve"> of RACH-less HO in mobile IAB. </w:t>
      </w:r>
    </w:p>
    <w:p w14:paraId="6500DD41" w14:textId="77777777" w:rsidR="001F76E2" w:rsidRPr="005E1BC9" w:rsidRDefault="001F76E2" w:rsidP="005E1BC9">
      <w:pPr>
        <w:spacing w:after="120"/>
        <w:rPr>
          <w:b/>
          <w:bCs/>
          <w:color w:val="auto"/>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133CC5FB" w14:textId="173EF894" w:rsidR="00A46482" w:rsidRDefault="006A27FE" w:rsidP="00B07080">
      <w:r w:rsidRPr="001E1860">
        <w:t>[</w:t>
      </w:r>
      <w:r w:rsidR="00AC51F4">
        <w:t>1</w:t>
      </w:r>
      <w:r w:rsidRPr="001E1860">
        <w:t xml:space="preserve">] </w:t>
      </w:r>
      <w:r>
        <w:t>RAN2#1</w:t>
      </w:r>
      <w:r w:rsidR="00AC51F4">
        <w:t>19b</w:t>
      </w:r>
      <w:r>
        <w:t>, Chair Notes</w:t>
      </w:r>
    </w:p>
    <w:p w14:paraId="16EA72C3" w14:textId="4A168F0E" w:rsidR="00355534" w:rsidRDefault="00355534" w:rsidP="00355534">
      <w:r w:rsidRPr="001E1860">
        <w:t>[</w:t>
      </w:r>
      <w:r>
        <w:t>2</w:t>
      </w:r>
      <w:r w:rsidRPr="001E1860">
        <w:t xml:space="preserve">] </w:t>
      </w:r>
      <w:r>
        <w:t>RAN2#121b, Chair Notes</w:t>
      </w:r>
    </w:p>
    <w:p w14:paraId="7C0CB29F" w14:textId="16558A89" w:rsidR="00D71FCD" w:rsidRPr="00F913CB" w:rsidRDefault="00355534" w:rsidP="007B2093">
      <w:r w:rsidRPr="001E1860">
        <w:t>[</w:t>
      </w:r>
      <w:r>
        <w:t>3</w:t>
      </w:r>
      <w:r w:rsidRPr="001E1860">
        <w:t xml:space="preserve">] </w:t>
      </w:r>
      <w:r>
        <w:t>RAN2#124, Chair Notes</w:t>
      </w:r>
    </w:p>
    <w:sectPr w:rsidR="00D71FCD" w:rsidRPr="00F913CB" w:rsidSect="0037298E">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CF980" w14:textId="77777777" w:rsidR="0037298E" w:rsidRDefault="0037298E">
      <w:r>
        <w:separator/>
      </w:r>
    </w:p>
    <w:p w14:paraId="303C7553" w14:textId="77777777" w:rsidR="0037298E" w:rsidRDefault="0037298E"/>
  </w:endnote>
  <w:endnote w:type="continuationSeparator" w:id="0">
    <w:p w14:paraId="7D56EEE1" w14:textId="77777777" w:rsidR="0037298E" w:rsidRDefault="0037298E">
      <w:r>
        <w:continuationSeparator/>
      </w:r>
    </w:p>
    <w:p w14:paraId="0B17209B" w14:textId="77777777" w:rsidR="0037298E" w:rsidRDefault="003729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BF30D" w14:textId="77777777" w:rsidR="0037298E" w:rsidRDefault="0037298E">
      <w:r>
        <w:separator/>
      </w:r>
    </w:p>
    <w:p w14:paraId="2E782519" w14:textId="77777777" w:rsidR="0037298E" w:rsidRDefault="0037298E"/>
  </w:footnote>
  <w:footnote w:type="continuationSeparator" w:id="0">
    <w:p w14:paraId="2D5A035A" w14:textId="77777777" w:rsidR="0037298E" w:rsidRDefault="0037298E">
      <w:r>
        <w:continuationSeparator/>
      </w:r>
    </w:p>
    <w:p w14:paraId="713F6CDB" w14:textId="77777777" w:rsidR="0037298E" w:rsidRDefault="003729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47282E"/>
    <w:multiLevelType w:val="hybridMultilevel"/>
    <w:tmpl w:val="5A340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4D95DB1"/>
    <w:multiLevelType w:val="hybridMultilevel"/>
    <w:tmpl w:val="2F8A2C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15"/>
  </w:num>
  <w:num w:numId="2" w16cid:durableId="2123449102">
    <w:abstractNumId w:val="7"/>
  </w:num>
  <w:num w:numId="3" w16cid:durableId="868225439">
    <w:abstractNumId w:val="14"/>
  </w:num>
  <w:num w:numId="4" w16cid:durableId="1147404626">
    <w:abstractNumId w:val="0"/>
  </w:num>
  <w:num w:numId="5" w16cid:durableId="1617247771">
    <w:abstractNumId w:val="5"/>
  </w:num>
  <w:num w:numId="6" w16cid:durableId="1667317774">
    <w:abstractNumId w:val="6"/>
  </w:num>
  <w:num w:numId="7" w16cid:durableId="1846817506">
    <w:abstractNumId w:val="13"/>
  </w:num>
  <w:num w:numId="8" w16cid:durableId="6370603">
    <w:abstractNumId w:val="3"/>
  </w:num>
  <w:num w:numId="9" w16cid:durableId="187061277">
    <w:abstractNumId w:val="4"/>
  </w:num>
  <w:num w:numId="10" w16cid:durableId="1061713598">
    <w:abstractNumId w:val="10"/>
  </w:num>
  <w:num w:numId="11" w16cid:durableId="1662855977">
    <w:abstractNumId w:val="12"/>
  </w:num>
  <w:num w:numId="12" w16cid:durableId="199099323">
    <w:abstractNumId w:val="9"/>
  </w:num>
  <w:num w:numId="13" w16cid:durableId="289475306">
    <w:abstractNumId w:val="1"/>
  </w:num>
  <w:num w:numId="14" w16cid:durableId="1630159020">
    <w:abstractNumId w:val="2"/>
  </w:num>
  <w:num w:numId="15" w16cid:durableId="38556462">
    <w:abstractNumId w:val="11"/>
  </w:num>
  <w:num w:numId="16" w16cid:durableId="1841503720">
    <w:abstractNumId w:val="14"/>
  </w:num>
  <w:num w:numId="17" w16cid:durableId="135110673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0A6"/>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B4"/>
    <w:rsid w:val="000C2860"/>
    <w:rsid w:val="000C2C4E"/>
    <w:rsid w:val="000C341F"/>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32E"/>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CD7"/>
    <w:rsid w:val="0011216B"/>
    <w:rsid w:val="00112202"/>
    <w:rsid w:val="00112BC2"/>
    <w:rsid w:val="00112C13"/>
    <w:rsid w:val="00112F2F"/>
    <w:rsid w:val="0011321F"/>
    <w:rsid w:val="001132E0"/>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B5B"/>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833"/>
    <w:rsid w:val="00173BD7"/>
    <w:rsid w:val="00173DB7"/>
    <w:rsid w:val="00173EA2"/>
    <w:rsid w:val="001746F4"/>
    <w:rsid w:val="001748C4"/>
    <w:rsid w:val="001751D6"/>
    <w:rsid w:val="0017527B"/>
    <w:rsid w:val="00175C12"/>
    <w:rsid w:val="00176170"/>
    <w:rsid w:val="00176A50"/>
    <w:rsid w:val="00176B73"/>
    <w:rsid w:val="00177C8B"/>
    <w:rsid w:val="0018072B"/>
    <w:rsid w:val="00180838"/>
    <w:rsid w:val="00180B63"/>
    <w:rsid w:val="00180FAF"/>
    <w:rsid w:val="001816DC"/>
    <w:rsid w:val="0018180B"/>
    <w:rsid w:val="0018197C"/>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9EF"/>
    <w:rsid w:val="00190EB5"/>
    <w:rsid w:val="00191196"/>
    <w:rsid w:val="00191290"/>
    <w:rsid w:val="00191A2C"/>
    <w:rsid w:val="00191A91"/>
    <w:rsid w:val="00192C39"/>
    <w:rsid w:val="00192DD2"/>
    <w:rsid w:val="001930FF"/>
    <w:rsid w:val="00193126"/>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A7BDC"/>
    <w:rsid w:val="001A7EA2"/>
    <w:rsid w:val="001B0210"/>
    <w:rsid w:val="001B0402"/>
    <w:rsid w:val="001B08DC"/>
    <w:rsid w:val="001B0A2A"/>
    <w:rsid w:val="001B10FE"/>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9A7"/>
    <w:rsid w:val="0022319C"/>
    <w:rsid w:val="00223689"/>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C9"/>
    <w:rsid w:val="0022764C"/>
    <w:rsid w:val="002279BD"/>
    <w:rsid w:val="00227B2A"/>
    <w:rsid w:val="00227D0C"/>
    <w:rsid w:val="00227F21"/>
    <w:rsid w:val="00227FB1"/>
    <w:rsid w:val="0023000B"/>
    <w:rsid w:val="00230205"/>
    <w:rsid w:val="0023107B"/>
    <w:rsid w:val="00231806"/>
    <w:rsid w:val="00231A1D"/>
    <w:rsid w:val="00231A6D"/>
    <w:rsid w:val="00231AF2"/>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286"/>
    <w:rsid w:val="0023738A"/>
    <w:rsid w:val="0023758C"/>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CE2"/>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67"/>
    <w:rsid w:val="002B0ABF"/>
    <w:rsid w:val="002B0F35"/>
    <w:rsid w:val="002B167B"/>
    <w:rsid w:val="002B17ED"/>
    <w:rsid w:val="002B19B6"/>
    <w:rsid w:val="002B1A56"/>
    <w:rsid w:val="002B2183"/>
    <w:rsid w:val="002B2F23"/>
    <w:rsid w:val="002B3255"/>
    <w:rsid w:val="002B3BFD"/>
    <w:rsid w:val="002B3CBB"/>
    <w:rsid w:val="002B3CD0"/>
    <w:rsid w:val="002B40B7"/>
    <w:rsid w:val="002B4454"/>
    <w:rsid w:val="002B4615"/>
    <w:rsid w:val="002B4835"/>
    <w:rsid w:val="002B4C59"/>
    <w:rsid w:val="002B4D0D"/>
    <w:rsid w:val="002B57B7"/>
    <w:rsid w:val="002B57EE"/>
    <w:rsid w:val="002B5925"/>
    <w:rsid w:val="002B6250"/>
    <w:rsid w:val="002B6258"/>
    <w:rsid w:val="002B63B2"/>
    <w:rsid w:val="002B6BFE"/>
    <w:rsid w:val="002B71D1"/>
    <w:rsid w:val="002B7288"/>
    <w:rsid w:val="002B73F5"/>
    <w:rsid w:val="002B77BD"/>
    <w:rsid w:val="002B7AC3"/>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B3B"/>
    <w:rsid w:val="00322D0C"/>
    <w:rsid w:val="00323144"/>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9C8"/>
    <w:rsid w:val="00326A22"/>
    <w:rsid w:val="00326F50"/>
    <w:rsid w:val="0032713B"/>
    <w:rsid w:val="003272C4"/>
    <w:rsid w:val="00327414"/>
    <w:rsid w:val="00327A46"/>
    <w:rsid w:val="00327CB7"/>
    <w:rsid w:val="00327E9F"/>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B3"/>
    <w:rsid w:val="0034205E"/>
    <w:rsid w:val="00342268"/>
    <w:rsid w:val="003429DC"/>
    <w:rsid w:val="00342E78"/>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816"/>
    <w:rsid w:val="00352972"/>
    <w:rsid w:val="0035319E"/>
    <w:rsid w:val="003537C8"/>
    <w:rsid w:val="00353C45"/>
    <w:rsid w:val="00353EA8"/>
    <w:rsid w:val="00353ED0"/>
    <w:rsid w:val="003540E8"/>
    <w:rsid w:val="0035461A"/>
    <w:rsid w:val="00354670"/>
    <w:rsid w:val="00354A2B"/>
    <w:rsid w:val="00354AAA"/>
    <w:rsid w:val="00354CF7"/>
    <w:rsid w:val="00355534"/>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98E"/>
    <w:rsid w:val="00372BAA"/>
    <w:rsid w:val="00372BF8"/>
    <w:rsid w:val="00373086"/>
    <w:rsid w:val="003730CF"/>
    <w:rsid w:val="0037346E"/>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55C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3EC"/>
    <w:rsid w:val="004054F2"/>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358"/>
    <w:rsid w:val="00427935"/>
    <w:rsid w:val="00427998"/>
    <w:rsid w:val="00427D48"/>
    <w:rsid w:val="004303D1"/>
    <w:rsid w:val="004304B7"/>
    <w:rsid w:val="00430682"/>
    <w:rsid w:val="00430758"/>
    <w:rsid w:val="00430896"/>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64A"/>
    <w:rsid w:val="00471760"/>
    <w:rsid w:val="004719CE"/>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B20"/>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142"/>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877"/>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63C"/>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1125"/>
    <w:rsid w:val="00541376"/>
    <w:rsid w:val="005414C7"/>
    <w:rsid w:val="0054161B"/>
    <w:rsid w:val="005416D0"/>
    <w:rsid w:val="00541DBB"/>
    <w:rsid w:val="00541E12"/>
    <w:rsid w:val="00542157"/>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13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28"/>
    <w:rsid w:val="005E66E2"/>
    <w:rsid w:val="005E6795"/>
    <w:rsid w:val="005E70E1"/>
    <w:rsid w:val="005E71D4"/>
    <w:rsid w:val="005E73A9"/>
    <w:rsid w:val="005E77F6"/>
    <w:rsid w:val="005E7E3C"/>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791"/>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33A"/>
    <w:rsid w:val="0060785C"/>
    <w:rsid w:val="00607AA4"/>
    <w:rsid w:val="00607ABF"/>
    <w:rsid w:val="00607CF6"/>
    <w:rsid w:val="00607F10"/>
    <w:rsid w:val="006104BF"/>
    <w:rsid w:val="00610938"/>
    <w:rsid w:val="00610998"/>
    <w:rsid w:val="00610A14"/>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D15"/>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F6C"/>
    <w:rsid w:val="0067247A"/>
    <w:rsid w:val="00672DE0"/>
    <w:rsid w:val="00673544"/>
    <w:rsid w:val="006737CD"/>
    <w:rsid w:val="00673950"/>
    <w:rsid w:val="00673ADA"/>
    <w:rsid w:val="0067411E"/>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48F0"/>
    <w:rsid w:val="006A4E4E"/>
    <w:rsid w:val="006A4ED2"/>
    <w:rsid w:val="006A53D3"/>
    <w:rsid w:val="006A567F"/>
    <w:rsid w:val="006A5A99"/>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0A2E"/>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053"/>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82A"/>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568"/>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093"/>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259"/>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101A3"/>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26E"/>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54"/>
    <w:rsid w:val="00890E61"/>
    <w:rsid w:val="00890FEA"/>
    <w:rsid w:val="008911FD"/>
    <w:rsid w:val="00891D8A"/>
    <w:rsid w:val="008920B9"/>
    <w:rsid w:val="008921F3"/>
    <w:rsid w:val="00892283"/>
    <w:rsid w:val="00892A51"/>
    <w:rsid w:val="00892E90"/>
    <w:rsid w:val="0089386B"/>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06"/>
    <w:rsid w:val="008C5B2B"/>
    <w:rsid w:val="008C655C"/>
    <w:rsid w:val="008C66D4"/>
    <w:rsid w:val="008C6A23"/>
    <w:rsid w:val="008C6A61"/>
    <w:rsid w:val="008C6C9A"/>
    <w:rsid w:val="008C6D14"/>
    <w:rsid w:val="008C6D7D"/>
    <w:rsid w:val="008C70DF"/>
    <w:rsid w:val="008C729E"/>
    <w:rsid w:val="008C734F"/>
    <w:rsid w:val="008C7D3A"/>
    <w:rsid w:val="008C7F2D"/>
    <w:rsid w:val="008D033B"/>
    <w:rsid w:val="008D0C62"/>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187"/>
    <w:rsid w:val="008F030A"/>
    <w:rsid w:val="008F08BA"/>
    <w:rsid w:val="008F14C1"/>
    <w:rsid w:val="008F15F6"/>
    <w:rsid w:val="008F19D7"/>
    <w:rsid w:val="008F1A95"/>
    <w:rsid w:val="008F1B52"/>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6483"/>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2DCE"/>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F18"/>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198"/>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3A0"/>
    <w:rsid w:val="009C4426"/>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781"/>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4C6"/>
    <w:rsid w:val="00A245B2"/>
    <w:rsid w:val="00A24945"/>
    <w:rsid w:val="00A24B90"/>
    <w:rsid w:val="00A24BCB"/>
    <w:rsid w:val="00A25466"/>
    <w:rsid w:val="00A259D2"/>
    <w:rsid w:val="00A259EF"/>
    <w:rsid w:val="00A25F91"/>
    <w:rsid w:val="00A260D0"/>
    <w:rsid w:val="00A2662E"/>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5E1"/>
    <w:rsid w:val="00AC4BF1"/>
    <w:rsid w:val="00AC4F39"/>
    <w:rsid w:val="00AC51F4"/>
    <w:rsid w:val="00AC533B"/>
    <w:rsid w:val="00AC561E"/>
    <w:rsid w:val="00AC5D6A"/>
    <w:rsid w:val="00AC602E"/>
    <w:rsid w:val="00AC60D8"/>
    <w:rsid w:val="00AC6C35"/>
    <w:rsid w:val="00AC6CA4"/>
    <w:rsid w:val="00AC6CB6"/>
    <w:rsid w:val="00AC706D"/>
    <w:rsid w:val="00AC7399"/>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C1A"/>
    <w:rsid w:val="00B13DF5"/>
    <w:rsid w:val="00B14A27"/>
    <w:rsid w:val="00B14A85"/>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3F6"/>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7F5"/>
    <w:rsid w:val="00B918DF"/>
    <w:rsid w:val="00B91F85"/>
    <w:rsid w:val="00B92211"/>
    <w:rsid w:val="00B92336"/>
    <w:rsid w:val="00B925C3"/>
    <w:rsid w:val="00B928F6"/>
    <w:rsid w:val="00B92A20"/>
    <w:rsid w:val="00B92B40"/>
    <w:rsid w:val="00B92D77"/>
    <w:rsid w:val="00B92FB2"/>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2E68"/>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66F"/>
    <w:rsid w:val="00C02951"/>
    <w:rsid w:val="00C02EE3"/>
    <w:rsid w:val="00C02EF4"/>
    <w:rsid w:val="00C03293"/>
    <w:rsid w:val="00C041AF"/>
    <w:rsid w:val="00C04272"/>
    <w:rsid w:val="00C04704"/>
    <w:rsid w:val="00C056DD"/>
    <w:rsid w:val="00C05C6F"/>
    <w:rsid w:val="00C05CBA"/>
    <w:rsid w:val="00C0643D"/>
    <w:rsid w:val="00C064E3"/>
    <w:rsid w:val="00C06553"/>
    <w:rsid w:val="00C06B3B"/>
    <w:rsid w:val="00C06E45"/>
    <w:rsid w:val="00C0708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8A9"/>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DA0"/>
    <w:rsid w:val="00CE016D"/>
    <w:rsid w:val="00CE0315"/>
    <w:rsid w:val="00CE033E"/>
    <w:rsid w:val="00CE0429"/>
    <w:rsid w:val="00CE06F5"/>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0C6"/>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557"/>
    <w:rsid w:val="00D27F01"/>
    <w:rsid w:val="00D305EA"/>
    <w:rsid w:val="00D30D54"/>
    <w:rsid w:val="00D30FCB"/>
    <w:rsid w:val="00D30FFE"/>
    <w:rsid w:val="00D312F3"/>
    <w:rsid w:val="00D3166D"/>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F2"/>
    <w:rsid w:val="00D6760A"/>
    <w:rsid w:val="00D677B7"/>
    <w:rsid w:val="00D67BFA"/>
    <w:rsid w:val="00D7013B"/>
    <w:rsid w:val="00D7036A"/>
    <w:rsid w:val="00D703D8"/>
    <w:rsid w:val="00D70460"/>
    <w:rsid w:val="00D70627"/>
    <w:rsid w:val="00D70CD5"/>
    <w:rsid w:val="00D70EC5"/>
    <w:rsid w:val="00D71126"/>
    <w:rsid w:val="00D71586"/>
    <w:rsid w:val="00D71FCD"/>
    <w:rsid w:val="00D7219D"/>
    <w:rsid w:val="00D722CA"/>
    <w:rsid w:val="00D723CB"/>
    <w:rsid w:val="00D72505"/>
    <w:rsid w:val="00D72709"/>
    <w:rsid w:val="00D72B94"/>
    <w:rsid w:val="00D73128"/>
    <w:rsid w:val="00D7336A"/>
    <w:rsid w:val="00D7367F"/>
    <w:rsid w:val="00D7413E"/>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564"/>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175"/>
    <w:rsid w:val="00D9323F"/>
    <w:rsid w:val="00D93D23"/>
    <w:rsid w:val="00D93D27"/>
    <w:rsid w:val="00D93ECD"/>
    <w:rsid w:val="00D93FC2"/>
    <w:rsid w:val="00D940CC"/>
    <w:rsid w:val="00D94575"/>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8C2"/>
    <w:rsid w:val="00D96ADC"/>
    <w:rsid w:val="00D97906"/>
    <w:rsid w:val="00D97E34"/>
    <w:rsid w:val="00D97F2C"/>
    <w:rsid w:val="00DA02B1"/>
    <w:rsid w:val="00DA02BB"/>
    <w:rsid w:val="00DA02FC"/>
    <w:rsid w:val="00DA03EC"/>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C35"/>
    <w:rsid w:val="00DB1CB3"/>
    <w:rsid w:val="00DB1DE7"/>
    <w:rsid w:val="00DB2831"/>
    <w:rsid w:val="00DB2B5C"/>
    <w:rsid w:val="00DB2BEF"/>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AC"/>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104"/>
    <w:rsid w:val="00DE1611"/>
    <w:rsid w:val="00DE20C3"/>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2E5C"/>
    <w:rsid w:val="00E230CF"/>
    <w:rsid w:val="00E2335C"/>
    <w:rsid w:val="00E23430"/>
    <w:rsid w:val="00E2355C"/>
    <w:rsid w:val="00E23815"/>
    <w:rsid w:val="00E238F1"/>
    <w:rsid w:val="00E23D67"/>
    <w:rsid w:val="00E2428D"/>
    <w:rsid w:val="00E24628"/>
    <w:rsid w:val="00E246E6"/>
    <w:rsid w:val="00E24750"/>
    <w:rsid w:val="00E24E72"/>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A6D"/>
    <w:rsid w:val="00E41B18"/>
    <w:rsid w:val="00E41D63"/>
    <w:rsid w:val="00E42072"/>
    <w:rsid w:val="00E426CC"/>
    <w:rsid w:val="00E42E62"/>
    <w:rsid w:val="00E4352D"/>
    <w:rsid w:val="00E444A9"/>
    <w:rsid w:val="00E44D2F"/>
    <w:rsid w:val="00E44E01"/>
    <w:rsid w:val="00E45558"/>
    <w:rsid w:val="00E45CCE"/>
    <w:rsid w:val="00E45E59"/>
    <w:rsid w:val="00E45EBC"/>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278"/>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7C5"/>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C6A"/>
    <w:rsid w:val="00EE2EE4"/>
    <w:rsid w:val="00EE31DA"/>
    <w:rsid w:val="00EE3263"/>
    <w:rsid w:val="00EE38D8"/>
    <w:rsid w:val="00EE3900"/>
    <w:rsid w:val="00EE3A82"/>
    <w:rsid w:val="00EE3D81"/>
    <w:rsid w:val="00EE403C"/>
    <w:rsid w:val="00EE472D"/>
    <w:rsid w:val="00EE4A55"/>
    <w:rsid w:val="00EE4C62"/>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B5B"/>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61F"/>
    <w:rsid w:val="00F74D15"/>
    <w:rsid w:val="00F7524B"/>
    <w:rsid w:val="00F753A3"/>
    <w:rsid w:val="00F755AF"/>
    <w:rsid w:val="00F75644"/>
    <w:rsid w:val="00F7573C"/>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83B"/>
    <w:rsid w:val="00F928BD"/>
    <w:rsid w:val="00F92E31"/>
    <w:rsid w:val="00F92F6F"/>
    <w:rsid w:val="00F930FB"/>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6D19"/>
    <w:rsid w:val="00FB7271"/>
    <w:rsid w:val="00FB7547"/>
    <w:rsid w:val="00FB7583"/>
    <w:rsid w:val="00FB75BD"/>
    <w:rsid w:val="00FB7AC8"/>
    <w:rsid w:val="00FC05E6"/>
    <w:rsid w:val="00FC0B9D"/>
    <w:rsid w:val="00FC0DE9"/>
    <w:rsid w:val="00FC0E5B"/>
    <w:rsid w:val="00FC1170"/>
    <w:rsid w:val="00FC1534"/>
    <w:rsid w:val="00FC1C2B"/>
    <w:rsid w:val="00FC1E8E"/>
    <w:rsid w:val="00FC25A5"/>
    <w:rsid w:val="00FC290E"/>
    <w:rsid w:val="00FC33BF"/>
    <w:rsid w:val="00FC383B"/>
    <w:rsid w:val="00FC4290"/>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6B"/>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Heading2Char">
    <w:name w:val="Heading 2 Char"/>
    <w:aliases w:val="H2 Char1,h2 Char"/>
    <w:basedOn w:val="DefaultParagraphFont"/>
    <w:link w:val="Heading2"/>
    <w:rsid w:val="00C248A9"/>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1312</TotalTime>
  <Pages>3</Pages>
  <Words>710</Words>
  <Characters>4051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4752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1152</cp:revision>
  <cp:lastPrinted>2017-03-22T08:13:00Z</cp:lastPrinted>
  <dcterms:created xsi:type="dcterms:W3CDTF">2023-02-14T09:02:00Z</dcterms:created>
  <dcterms:modified xsi:type="dcterms:W3CDTF">2024-02-18T04:50:00Z</dcterms:modified>
  <cp:category/>
</cp:coreProperties>
</file>